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63" w:rsidRDefault="00953A63" w:rsidP="00953A63">
      <w:pPr>
        <w:autoSpaceDE w:val="0"/>
        <w:autoSpaceDN w:val="0"/>
        <w:adjustRightInd w:val="0"/>
        <w:spacing w:line="360" w:lineRule="auto"/>
        <w:jc w:val="center"/>
        <w:rPr>
          <w:rFonts w:ascii="Barlow" w:hAnsi="Barlow"/>
          <w:b/>
          <w:sz w:val="28"/>
        </w:rPr>
      </w:pPr>
      <w:r>
        <w:rPr>
          <w:rFonts w:ascii="Barlow" w:hAnsi="Barlow"/>
          <w:b/>
          <w:sz w:val="28"/>
        </w:rPr>
        <w:t>Cuenta Pública 2019</w:t>
      </w:r>
    </w:p>
    <w:p w:rsidR="00953A63" w:rsidRPr="00410493" w:rsidRDefault="00953A63" w:rsidP="00953A63">
      <w:pPr>
        <w:autoSpaceDE w:val="0"/>
        <w:autoSpaceDN w:val="0"/>
        <w:adjustRightInd w:val="0"/>
        <w:spacing w:line="360" w:lineRule="auto"/>
        <w:jc w:val="center"/>
        <w:rPr>
          <w:rFonts w:ascii="Barlow" w:hAnsi="Barlow"/>
          <w:b/>
          <w:sz w:val="28"/>
        </w:rPr>
      </w:pPr>
      <w:r>
        <w:rPr>
          <w:rFonts w:ascii="Barlow" w:hAnsi="Barlow"/>
          <w:b/>
          <w:sz w:val="28"/>
        </w:rPr>
        <w:t>SISTEMA PARA EL DESARROLLO INTEGRAL DE LA FAMILIA EN YUCATAN</w:t>
      </w:r>
    </w:p>
    <w:p w:rsidR="00953A63" w:rsidRPr="00410493" w:rsidRDefault="00953A63" w:rsidP="00953A63">
      <w:pPr>
        <w:autoSpaceDE w:val="0"/>
        <w:autoSpaceDN w:val="0"/>
        <w:adjustRightInd w:val="0"/>
        <w:spacing w:line="360" w:lineRule="auto"/>
        <w:jc w:val="center"/>
        <w:rPr>
          <w:rFonts w:ascii="Barlow" w:hAnsi="Barlow"/>
          <w:b/>
          <w:sz w:val="22"/>
        </w:rPr>
      </w:pPr>
      <w:bookmarkStart w:id="0" w:name="m18"/>
      <w:bookmarkEnd w:id="0"/>
      <w:r w:rsidRPr="00410493">
        <w:rPr>
          <w:rFonts w:ascii="Barlow" w:hAnsi="Barlow"/>
          <w:b/>
          <w:sz w:val="22"/>
        </w:rPr>
        <w:t xml:space="preserve">Notas a los estados financieros </w:t>
      </w:r>
    </w:p>
    <w:p w:rsidR="00953A63" w:rsidRPr="00410493" w:rsidRDefault="00953A63" w:rsidP="00953A63">
      <w:pPr>
        <w:autoSpaceDE w:val="0"/>
        <w:autoSpaceDN w:val="0"/>
        <w:adjustRightInd w:val="0"/>
        <w:spacing w:line="360" w:lineRule="auto"/>
        <w:jc w:val="center"/>
        <w:rPr>
          <w:rFonts w:ascii="Barlow" w:hAnsi="Barlow"/>
          <w:b/>
          <w:sz w:val="22"/>
        </w:rPr>
      </w:pPr>
      <w:r w:rsidRPr="00410493">
        <w:rPr>
          <w:rFonts w:ascii="Barlow" w:hAnsi="Barlow"/>
          <w:b/>
          <w:sz w:val="22"/>
        </w:rPr>
        <w:t>Cifras al 3</w:t>
      </w:r>
      <w:r w:rsidR="00D4704D">
        <w:rPr>
          <w:rFonts w:ascii="Barlow" w:hAnsi="Barlow"/>
          <w:b/>
          <w:sz w:val="22"/>
        </w:rPr>
        <w:t>0</w:t>
      </w:r>
      <w:r w:rsidRPr="00410493">
        <w:rPr>
          <w:rFonts w:ascii="Barlow" w:hAnsi="Barlow"/>
          <w:b/>
          <w:sz w:val="22"/>
        </w:rPr>
        <w:t xml:space="preserve"> de </w:t>
      </w:r>
      <w:r w:rsidR="00D4704D">
        <w:rPr>
          <w:rFonts w:ascii="Barlow" w:hAnsi="Barlow"/>
          <w:b/>
          <w:sz w:val="22"/>
        </w:rPr>
        <w:t>Junio</w:t>
      </w:r>
      <w:r w:rsidRPr="00410493">
        <w:rPr>
          <w:rFonts w:ascii="Barlow" w:hAnsi="Barlow"/>
          <w:b/>
          <w:sz w:val="22"/>
        </w:rPr>
        <w:t xml:space="preserve"> de 201</w:t>
      </w:r>
      <w:r>
        <w:rPr>
          <w:rFonts w:ascii="Barlow" w:hAnsi="Barlow"/>
          <w:b/>
          <w:sz w:val="22"/>
        </w:rPr>
        <w:t>9</w:t>
      </w:r>
    </w:p>
    <w:p w:rsidR="00953A63" w:rsidRPr="00410493" w:rsidRDefault="00953A63" w:rsidP="00953A63">
      <w:pPr>
        <w:autoSpaceDE w:val="0"/>
        <w:autoSpaceDN w:val="0"/>
        <w:adjustRightInd w:val="0"/>
        <w:spacing w:line="360" w:lineRule="auto"/>
        <w:jc w:val="center"/>
        <w:rPr>
          <w:rFonts w:ascii="Barlow" w:hAnsi="Barlow"/>
          <w:b/>
          <w:sz w:val="22"/>
        </w:rPr>
      </w:pPr>
      <w:r w:rsidRPr="00410493">
        <w:rPr>
          <w:rFonts w:ascii="Barlow" w:hAnsi="Barlow"/>
          <w:b/>
          <w:sz w:val="22"/>
        </w:rPr>
        <w:t>(Pesos)</w:t>
      </w:r>
    </w:p>
    <w:p w:rsidR="00953A63" w:rsidRPr="00410493" w:rsidRDefault="00953A63" w:rsidP="00953A63">
      <w:pPr>
        <w:autoSpaceDE w:val="0"/>
        <w:autoSpaceDN w:val="0"/>
        <w:adjustRightInd w:val="0"/>
        <w:spacing w:line="360" w:lineRule="auto"/>
        <w:rPr>
          <w:rFonts w:ascii="Barlow" w:hAnsi="Barlow"/>
        </w:rPr>
      </w:pPr>
    </w:p>
    <w:p w:rsidR="00953A63" w:rsidRPr="00410493" w:rsidRDefault="00953A63" w:rsidP="00953A63">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Con el propósito de dar cumplimiento a los artículos 44, 45, 46, 47, 49, 52, y 53 de la Ley General de Contabilidad Gubernamental, artículo 31 fracciones XXVI y XXXII del Código de Administración Pública de Yucatán y al artículo 59 fracciones XXV y XXVII del Reglamento del Código de la Administración Pública de Yucatán, el Poder Ejecutivo del Estado de Yucatán, ha preparado los Estados Financieros incluyendo las operaciones efectuadas al 31 de diciembre.</w:t>
      </w:r>
    </w:p>
    <w:p w:rsidR="00953A63" w:rsidRPr="00410493" w:rsidRDefault="00953A63" w:rsidP="00953A63">
      <w:pPr>
        <w:autoSpaceDE w:val="0"/>
        <w:autoSpaceDN w:val="0"/>
        <w:adjustRightInd w:val="0"/>
        <w:spacing w:line="360" w:lineRule="auto"/>
        <w:jc w:val="both"/>
        <w:rPr>
          <w:rFonts w:ascii="Barlow" w:hAnsi="Barlow" w:cs="Arial"/>
          <w:b/>
          <w:sz w:val="20"/>
          <w:szCs w:val="20"/>
        </w:rPr>
      </w:pPr>
    </w:p>
    <w:p w:rsidR="00953A63" w:rsidRPr="00410493" w:rsidRDefault="00953A63" w:rsidP="00953A63">
      <w:pPr>
        <w:pStyle w:val="Prrafodelista"/>
        <w:numPr>
          <w:ilvl w:val="0"/>
          <w:numId w:val="10"/>
        </w:num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t>NOTAS DE DESGLOCE</w:t>
      </w:r>
    </w:p>
    <w:p w:rsidR="00953A63" w:rsidRPr="00410493" w:rsidRDefault="00953A63" w:rsidP="00953A63">
      <w:pPr>
        <w:pStyle w:val="Prrafodelista"/>
        <w:autoSpaceDE w:val="0"/>
        <w:autoSpaceDN w:val="0"/>
        <w:adjustRightInd w:val="0"/>
        <w:spacing w:line="360" w:lineRule="auto"/>
        <w:jc w:val="both"/>
        <w:rPr>
          <w:rFonts w:ascii="Barlow" w:hAnsi="Barlow" w:cs="Arial"/>
          <w:b/>
          <w:sz w:val="20"/>
          <w:szCs w:val="20"/>
        </w:rPr>
      </w:pPr>
    </w:p>
    <w:p w:rsidR="00953A63" w:rsidRPr="00410493" w:rsidRDefault="00953A63" w:rsidP="00953A63">
      <w:p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t>I) NOTAS AL ESTADO DE SITUACIÓN FINANCIERA.</w:t>
      </w:r>
    </w:p>
    <w:p w:rsidR="00953A63" w:rsidRPr="00410493" w:rsidRDefault="00953A63" w:rsidP="00953A63">
      <w:pPr>
        <w:autoSpaceDE w:val="0"/>
        <w:autoSpaceDN w:val="0"/>
        <w:adjustRightInd w:val="0"/>
        <w:spacing w:line="360" w:lineRule="auto"/>
        <w:jc w:val="both"/>
        <w:rPr>
          <w:rFonts w:ascii="Barlow" w:hAnsi="Barlow" w:cs="Arial"/>
          <w:b/>
          <w:sz w:val="20"/>
          <w:szCs w:val="20"/>
        </w:rPr>
      </w:pPr>
    </w:p>
    <w:p w:rsidR="00953A63" w:rsidRPr="00410493" w:rsidRDefault="00953A63" w:rsidP="00953A63">
      <w:p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t>Activo</w:t>
      </w:r>
    </w:p>
    <w:p w:rsidR="00953A63" w:rsidRPr="00410493" w:rsidRDefault="00953A63" w:rsidP="00953A63">
      <w:p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t>Efectivo y Equivalentes</w:t>
      </w:r>
    </w:p>
    <w:p w:rsidR="00953A63" w:rsidRDefault="00953A63" w:rsidP="00953A63">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1.- La cuenta de bancos y la cuenta de efectivo y equivalentes se encuentra integrada por tipo de cuenta bancaria de la siguiente manera:</w:t>
      </w:r>
    </w:p>
    <w:p w:rsidR="00953A63" w:rsidRDefault="00953A63" w:rsidP="00953A63">
      <w:pPr>
        <w:autoSpaceDE w:val="0"/>
        <w:autoSpaceDN w:val="0"/>
        <w:adjustRightInd w:val="0"/>
        <w:spacing w:line="360" w:lineRule="auto"/>
        <w:jc w:val="both"/>
        <w:rPr>
          <w:rFonts w:ascii="Barlow" w:hAnsi="Barlow" w:cs="Arial"/>
          <w:sz w:val="20"/>
          <w:szCs w:val="20"/>
        </w:rPr>
      </w:pPr>
    </w:p>
    <w:tbl>
      <w:tblPr>
        <w:tblW w:w="11922" w:type="dxa"/>
        <w:tblInd w:w="55" w:type="dxa"/>
        <w:tblCellMar>
          <w:left w:w="70" w:type="dxa"/>
          <w:right w:w="70" w:type="dxa"/>
        </w:tblCellMar>
        <w:tblLook w:val="04A0"/>
      </w:tblPr>
      <w:tblGrid>
        <w:gridCol w:w="9513"/>
        <w:gridCol w:w="2409"/>
      </w:tblGrid>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b/>
                <w:bCs/>
                <w:color w:val="000000"/>
                <w:sz w:val="20"/>
                <w:szCs w:val="20"/>
              </w:rPr>
            </w:pPr>
            <w:r>
              <w:rPr>
                <w:rFonts w:ascii="Barlow" w:hAnsi="Barlow" w:cs="Tahoma"/>
                <w:b/>
                <w:bCs/>
                <w:color w:val="000000"/>
                <w:sz w:val="20"/>
                <w:szCs w:val="20"/>
              </w:rPr>
              <w:t>Efectivo y Equivalentes</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b/>
                <w:bCs/>
                <w:color w:val="000000"/>
                <w:sz w:val="20"/>
                <w:szCs w:val="20"/>
              </w:rPr>
            </w:pPr>
            <w:r>
              <w:rPr>
                <w:rFonts w:ascii="Barlow" w:hAnsi="Barlow" w:cs="Tahoma"/>
                <w:b/>
                <w:bCs/>
                <w:color w:val="000000"/>
                <w:sz w:val="20"/>
                <w:szCs w:val="20"/>
              </w:rPr>
              <w:t xml:space="preserve">               45,287,438.24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Efectivo</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79,500.00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rsidP="002668CF">
            <w:pPr>
              <w:ind w:right="-70"/>
              <w:rPr>
                <w:rFonts w:ascii="Barlow" w:hAnsi="Barlow" w:cs="Tahoma"/>
                <w:color w:val="000000"/>
                <w:sz w:val="20"/>
                <w:szCs w:val="20"/>
              </w:rPr>
            </w:pPr>
            <w:r>
              <w:rPr>
                <w:rFonts w:ascii="Barlow" w:hAnsi="Barlow" w:cs="Tahoma"/>
                <w:color w:val="000000"/>
                <w:sz w:val="20"/>
                <w:szCs w:val="20"/>
              </w:rPr>
              <w:lastRenderedPageBreak/>
              <w:t>CADI OLGA MANZANO</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PROCURADURÍA</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10,000.00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COMPRAS</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5,000.00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C.D.F. CASTILLA CÁMARA</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CROPAFY</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7,000.00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SUBDIRECCIÓN ADMINISTRATIVA</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8,000.00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CAIMEDE</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10,000.00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CADI JULIA PEÓN</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C.D.F. MARÍA LUISA</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COORDINACIÓN DE CADI</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3,500.00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SERVICIOS MÉDICOS</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2,000.00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CADI CONKAL</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CADI CARMEN GÓMEZ</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RECURSOS MATERIALES</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5,000.00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C.D.F. HUMBERTO LARA</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CADI LINA LÓPEZ ESQUIVEL</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CADI ELVIA CARRILLO PUERTO</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DIRECCIÓN</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10,000.00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INFORMÁTICA</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2,000.00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CADI ROSA TORRES</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DIRECCIÓN DE DESARROLLO COMUNITARIO</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2,000.00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SUBDIRECCIÓN ADMINISTRATIVA (CADI)</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5,000.00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b/>
                <w:bCs/>
                <w:color w:val="000000"/>
                <w:sz w:val="20"/>
                <w:szCs w:val="20"/>
              </w:rPr>
            </w:pPr>
            <w:r>
              <w:rPr>
                <w:rFonts w:ascii="Barlow" w:hAnsi="Barlow" w:cs="Tahoma"/>
                <w:b/>
                <w:bCs/>
                <w:color w:val="000000"/>
                <w:sz w:val="20"/>
                <w:szCs w:val="20"/>
              </w:rPr>
              <w:t>Bancos/Tesorería</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b/>
                <w:bCs/>
                <w:color w:val="000000"/>
                <w:sz w:val="20"/>
                <w:szCs w:val="20"/>
              </w:rPr>
            </w:pPr>
            <w:r>
              <w:rPr>
                <w:rFonts w:ascii="Barlow" w:hAnsi="Barlow" w:cs="Tahoma"/>
                <w:b/>
                <w:bCs/>
                <w:color w:val="000000"/>
                <w:sz w:val="20"/>
                <w:szCs w:val="20"/>
              </w:rPr>
              <w:t xml:space="preserve">                45,207,938.24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Aportaciones Estatales</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24,205,550.83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Cta 05 5298 5495</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1,944,870.52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Cta 08 4876 0797</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447,964.32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10 0789 2474 E.C.</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13,166.72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10 0808 7213 FF-101</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5,302,080.23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lastRenderedPageBreak/>
              <w:t>BTE 10 5705 8882 FF 101</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10,396,231.94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10 5703 3478 FF-01</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6,082,205.30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10 5704 0449 FF 01</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19,031.80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Aportaciones Federales FAM</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113,176.97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Cta 10 5446 0756 FAM 2019</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113,176.97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Recursos propios</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20,889,208.40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Cta 05 6473 3439 EAED</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2,019,303.11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Cta 05 6473 3381 CADIS</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1,065,721.60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Cta 05 6473 3420 TRABAJO SOCIAL</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406,808.94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Cta 05 6473 3390 CROPAFY</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1,220,104.48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Cta 05 6473 3402 UBR</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4,674,712.36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Cta 10 5446 3588 DIR. ALIM. 2019</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2,059,350.92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Cta 04 1493 7387 DIR. ALIM. 2016</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64,030.84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Cta 04 6109 3960 DIR. ALIM. 2017</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48,658.13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BTE Cta 05 9322 9697 DIR. ALIM. 2018</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9,330,518.02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Aportaciones Federales Ramo 23</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2.04 </w:t>
            </w:r>
          </w:p>
        </w:tc>
      </w:tr>
      <w:tr w:rsidR="002668CF" w:rsidTr="00212309">
        <w:trPr>
          <w:trHeight w:val="270"/>
        </w:trPr>
        <w:tc>
          <w:tcPr>
            <w:tcW w:w="9513"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Tahoma"/>
                <w:color w:val="000000"/>
                <w:sz w:val="20"/>
                <w:szCs w:val="20"/>
              </w:rPr>
              <w:t>SCOTIABANK 1700320 1147 FOTRADIS 2018</w:t>
            </w:r>
          </w:p>
        </w:tc>
        <w:tc>
          <w:tcPr>
            <w:tcW w:w="2409" w:type="dxa"/>
            <w:tcBorders>
              <w:top w:val="nil"/>
              <w:left w:val="nil"/>
              <w:bottom w:val="nil"/>
              <w:right w:val="nil"/>
            </w:tcBorders>
            <w:shd w:val="clear" w:color="000000" w:fill="FFFFFF"/>
            <w:noWrap/>
            <w:hideMark/>
          </w:tcPr>
          <w:p w:rsidR="002668CF" w:rsidRDefault="002668CF" w:rsidP="002668CF">
            <w:pPr>
              <w:jc w:val="right"/>
              <w:rPr>
                <w:rFonts w:ascii="Barlow" w:hAnsi="Barlow" w:cs="Tahoma"/>
                <w:color w:val="000000"/>
                <w:sz w:val="20"/>
                <w:szCs w:val="20"/>
              </w:rPr>
            </w:pPr>
            <w:r>
              <w:rPr>
                <w:rFonts w:ascii="Barlow" w:hAnsi="Barlow" w:cs="Tahoma"/>
                <w:color w:val="000000"/>
                <w:sz w:val="20"/>
                <w:szCs w:val="20"/>
              </w:rPr>
              <w:t xml:space="preserve">                                  2.04 </w:t>
            </w:r>
          </w:p>
        </w:tc>
      </w:tr>
    </w:tbl>
    <w:p w:rsidR="00953A63" w:rsidRPr="00410493" w:rsidRDefault="00953A63" w:rsidP="00953A63">
      <w:pPr>
        <w:autoSpaceDE w:val="0"/>
        <w:autoSpaceDN w:val="0"/>
        <w:adjustRightInd w:val="0"/>
        <w:spacing w:line="360" w:lineRule="auto"/>
        <w:jc w:val="both"/>
        <w:rPr>
          <w:rFonts w:ascii="Barlow" w:hAnsi="Barlow" w:cs="Arial"/>
          <w:sz w:val="20"/>
          <w:szCs w:val="20"/>
        </w:rPr>
      </w:pPr>
    </w:p>
    <w:p w:rsidR="00953A63" w:rsidRPr="00410493" w:rsidRDefault="00953A63" w:rsidP="00953A63">
      <w:pPr>
        <w:autoSpaceDE w:val="0"/>
        <w:autoSpaceDN w:val="0"/>
        <w:adjustRightInd w:val="0"/>
        <w:spacing w:line="360" w:lineRule="auto"/>
        <w:jc w:val="both"/>
        <w:rPr>
          <w:rFonts w:ascii="Barlow" w:hAnsi="Barlow" w:cs="Arial"/>
          <w:sz w:val="20"/>
          <w:szCs w:val="20"/>
        </w:rPr>
      </w:pPr>
      <w:bookmarkStart w:id="1" w:name="m1"/>
      <w:bookmarkEnd w:id="1"/>
      <w:r w:rsidRPr="00410493">
        <w:rPr>
          <w:rFonts w:ascii="Barlow" w:hAnsi="Barlow" w:cs="Arial"/>
          <w:sz w:val="20"/>
          <w:szCs w:val="20"/>
        </w:rPr>
        <w:t xml:space="preserve">Esta información resulta de las operaciones sobre los recursos disponibles en cuentas bancarias del </w:t>
      </w:r>
      <w:r>
        <w:rPr>
          <w:rFonts w:ascii="Barlow" w:hAnsi="Barlow" w:cs="Arial"/>
          <w:sz w:val="20"/>
          <w:szCs w:val="20"/>
        </w:rPr>
        <w:t>Sistema DIF</w:t>
      </w:r>
      <w:r w:rsidRPr="00410493">
        <w:rPr>
          <w:rFonts w:ascii="Barlow" w:hAnsi="Barlow" w:cs="Arial"/>
          <w:sz w:val="20"/>
          <w:szCs w:val="20"/>
        </w:rPr>
        <w:t>,</w:t>
      </w:r>
      <w:r>
        <w:rPr>
          <w:rFonts w:ascii="Barlow" w:hAnsi="Barlow" w:cs="Arial"/>
          <w:sz w:val="20"/>
          <w:szCs w:val="20"/>
        </w:rPr>
        <w:t xml:space="preserve"> mismas que </w:t>
      </w:r>
      <w:r w:rsidRPr="00410493">
        <w:rPr>
          <w:rFonts w:ascii="Barlow" w:hAnsi="Barlow" w:cs="Arial"/>
          <w:sz w:val="20"/>
          <w:szCs w:val="20"/>
        </w:rPr>
        <w:t xml:space="preserve"> concentra, custodia y administra</w:t>
      </w:r>
      <w:r>
        <w:rPr>
          <w:rFonts w:ascii="Barlow" w:hAnsi="Barlow" w:cs="Arial"/>
          <w:sz w:val="20"/>
          <w:szCs w:val="20"/>
        </w:rPr>
        <w:t>.</w:t>
      </w:r>
    </w:p>
    <w:p w:rsidR="003A210F" w:rsidRPr="007653C4" w:rsidRDefault="003A210F" w:rsidP="00B520DF">
      <w:pPr>
        <w:rPr>
          <w:rFonts w:asciiTheme="minorHAnsi" w:hAnsiTheme="minorHAnsi" w:cs="Arial"/>
          <w:b/>
          <w:i/>
          <w:sz w:val="18"/>
          <w:szCs w:val="18"/>
          <w:lang w:val="es-MX"/>
        </w:rPr>
      </w:pPr>
    </w:p>
    <w:p w:rsidR="0081412A" w:rsidRPr="00953A63" w:rsidRDefault="0081412A" w:rsidP="00B520DF">
      <w:pPr>
        <w:rPr>
          <w:rFonts w:ascii="Barlow" w:hAnsi="Barlow" w:cs="Arial"/>
          <w:b/>
          <w:sz w:val="20"/>
          <w:szCs w:val="20"/>
        </w:rPr>
      </w:pPr>
      <w:r w:rsidRPr="00953A63">
        <w:rPr>
          <w:rFonts w:ascii="Barlow" w:hAnsi="Barlow" w:cs="Arial"/>
          <w:b/>
          <w:sz w:val="20"/>
          <w:szCs w:val="20"/>
        </w:rPr>
        <w:t>Derechos a recibir Efectivo y Equivalentes y Bienes o Servicios a Recibir.</w:t>
      </w:r>
    </w:p>
    <w:p w:rsidR="00826686" w:rsidRDefault="00826686" w:rsidP="00FE5FBD">
      <w:pPr>
        <w:ind w:left="360" w:firstLine="348"/>
        <w:rPr>
          <w:rFonts w:ascii="Barlow" w:hAnsi="Barlow" w:cs="Arial"/>
          <w:b/>
          <w:sz w:val="20"/>
          <w:szCs w:val="20"/>
        </w:rPr>
      </w:pPr>
    </w:p>
    <w:p w:rsidR="00F26D7D" w:rsidRDefault="00F26D7D" w:rsidP="00F26D7D">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 xml:space="preserve">2. El saldo final de la cuenta 1.1.2.4. </w:t>
      </w:r>
      <w:r>
        <w:rPr>
          <w:rFonts w:ascii="Barlow" w:hAnsi="Barlow" w:cs="Arial"/>
          <w:sz w:val="20"/>
          <w:szCs w:val="20"/>
        </w:rPr>
        <w:t xml:space="preserve">corresponde a años </w:t>
      </w:r>
      <w:r w:rsidR="008C0F5C">
        <w:rPr>
          <w:rFonts w:ascii="Barlow" w:hAnsi="Barlow" w:cs="Arial"/>
          <w:sz w:val="20"/>
          <w:szCs w:val="20"/>
        </w:rPr>
        <w:t>anteriores</w:t>
      </w:r>
      <w:r w:rsidRPr="00410493">
        <w:rPr>
          <w:rFonts w:ascii="Barlow" w:hAnsi="Barlow" w:cs="Arial"/>
          <w:sz w:val="20"/>
          <w:szCs w:val="20"/>
        </w:rPr>
        <w:t>.</w:t>
      </w:r>
    </w:p>
    <w:p w:rsidR="002668CF" w:rsidRDefault="002668CF" w:rsidP="00F26D7D">
      <w:pPr>
        <w:autoSpaceDE w:val="0"/>
        <w:autoSpaceDN w:val="0"/>
        <w:adjustRightInd w:val="0"/>
        <w:spacing w:line="360" w:lineRule="auto"/>
        <w:jc w:val="both"/>
        <w:rPr>
          <w:rFonts w:ascii="Barlow" w:hAnsi="Barlow" w:cs="Arial"/>
          <w:sz w:val="20"/>
          <w:szCs w:val="20"/>
        </w:rPr>
      </w:pPr>
    </w:p>
    <w:p w:rsidR="00212309" w:rsidRDefault="00212309" w:rsidP="00F26D7D">
      <w:pPr>
        <w:autoSpaceDE w:val="0"/>
        <w:autoSpaceDN w:val="0"/>
        <w:adjustRightInd w:val="0"/>
        <w:spacing w:line="360" w:lineRule="auto"/>
        <w:jc w:val="both"/>
        <w:rPr>
          <w:rFonts w:ascii="Barlow" w:hAnsi="Barlow" w:cs="Arial"/>
          <w:sz w:val="20"/>
          <w:szCs w:val="20"/>
        </w:rPr>
      </w:pPr>
    </w:p>
    <w:p w:rsidR="002668CF" w:rsidRPr="00410493" w:rsidRDefault="002668CF" w:rsidP="00F26D7D">
      <w:pPr>
        <w:autoSpaceDE w:val="0"/>
        <w:autoSpaceDN w:val="0"/>
        <w:adjustRightInd w:val="0"/>
        <w:spacing w:line="360" w:lineRule="auto"/>
        <w:jc w:val="both"/>
        <w:rPr>
          <w:rFonts w:ascii="Barlow" w:hAnsi="Barlow" w:cs="Arial"/>
          <w:sz w:val="20"/>
          <w:szCs w:val="20"/>
        </w:rPr>
      </w:pPr>
    </w:p>
    <w:p w:rsidR="00FE5FBD" w:rsidRDefault="00F26D7D" w:rsidP="00953A63">
      <w:pPr>
        <w:autoSpaceDE w:val="0"/>
        <w:autoSpaceDN w:val="0"/>
        <w:adjustRightInd w:val="0"/>
        <w:spacing w:line="360" w:lineRule="auto"/>
        <w:jc w:val="both"/>
        <w:rPr>
          <w:rFonts w:ascii="Barlow" w:hAnsi="Barlow" w:cs="Arial"/>
          <w:sz w:val="20"/>
          <w:szCs w:val="20"/>
        </w:rPr>
      </w:pPr>
      <w:r>
        <w:rPr>
          <w:rFonts w:ascii="Barlow" w:hAnsi="Barlow" w:cs="Arial"/>
          <w:sz w:val="20"/>
          <w:szCs w:val="20"/>
        </w:rPr>
        <w:lastRenderedPageBreak/>
        <w:t xml:space="preserve">3. </w:t>
      </w:r>
      <w:r w:rsidR="00953A63" w:rsidRPr="00410493">
        <w:rPr>
          <w:rFonts w:ascii="Barlow" w:hAnsi="Barlow" w:cs="Arial"/>
          <w:sz w:val="20"/>
          <w:szCs w:val="20"/>
        </w:rPr>
        <w:t>La cuenta derechos a recibir efectivo o equivalentes, presenta cuentas por cobrar las cuales, se encuentran in</w:t>
      </w:r>
      <w:r w:rsidR="00953A63">
        <w:rPr>
          <w:rFonts w:ascii="Barlow" w:hAnsi="Barlow" w:cs="Arial"/>
          <w:sz w:val="20"/>
          <w:szCs w:val="20"/>
        </w:rPr>
        <w:t>tegradas de la siguiente manera:</w:t>
      </w:r>
    </w:p>
    <w:p w:rsidR="008C0F5C" w:rsidRPr="00953A63" w:rsidRDefault="008C0F5C" w:rsidP="00953A63">
      <w:pPr>
        <w:autoSpaceDE w:val="0"/>
        <w:autoSpaceDN w:val="0"/>
        <w:adjustRightInd w:val="0"/>
        <w:spacing w:line="360" w:lineRule="auto"/>
        <w:jc w:val="both"/>
        <w:rPr>
          <w:rFonts w:ascii="Barlow" w:hAnsi="Barlow" w:cs="Arial"/>
          <w:sz w:val="20"/>
          <w:szCs w:val="20"/>
        </w:rPr>
      </w:pPr>
    </w:p>
    <w:tbl>
      <w:tblPr>
        <w:tblW w:w="12340" w:type="dxa"/>
        <w:tblInd w:w="55" w:type="dxa"/>
        <w:tblCellMar>
          <w:left w:w="70" w:type="dxa"/>
          <w:right w:w="70" w:type="dxa"/>
        </w:tblCellMar>
        <w:tblLook w:val="04A0"/>
      </w:tblPr>
      <w:tblGrid>
        <w:gridCol w:w="10080"/>
        <w:gridCol w:w="2260"/>
      </w:tblGrid>
      <w:tr w:rsidR="002668CF" w:rsidTr="002668CF">
        <w:trPr>
          <w:trHeight w:val="270"/>
        </w:trPr>
        <w:tc>
          <w:tcPr>
            <w:tcW w:w="10080" w:type="dxa"/>
            <w:tcBorders>
              <w:top w:val="nil"/>
              <w:left w:val="nil"/>
              <w:bottom w:val="nil"/>
              <w:right w:val="nil"/>
            </w:tcBorders>
            <w:shd w:val="clear" w:color="000000" w:fill="FFFFFF"/>
            <w:noWrap/>
            <w:hideMark/>
          </w:tcPr>
          <w:p w:rsidR="002668CF" w:rsidRDefault="002668CF">
            <w:pPr>
              <w:rPr>
                <w:rFonts w:ascii="Barlow" w:hAnsi="Barlow" w:cs="Tahoma"/>
                <w:b/>
                <w:bCs/>
                <w:color w:val="000000"/>
                <w:sz w:val="20"/>
                <w:szCs w:val="20"/>
              </w:rPr>
            </w:pPr>
            <w:r>
              <w:rPr>
                <w:rFonts w:ascii="Barlow" w:hAnsi="Barlow" w:cs="Arial"/>
                <w:b/>
                <w:bCs/>
                <w:color w:val="000000"/>
                <w:sz w:val="20"/>
                <w:szCs w:val="20"/>
              </w:rPr>
              <w:t xml:space="preserve">Derechos a Recibir Efectivo o Equivalentes </w:t>
            </w:r>
          </w:p>
        </w:tc>
        <w:tc>
          <w:tcPr>
            <w:tcW w:w="2260" w:type="dxa"/>
            <w:tcBorders>
              <w:top w:val="nil"/>
              <w:left w:val="nil"/>
              <w:bottom w:val="nil"/>
              <w:right w:val="nil"/>
            </w:tcBorders>
            <w:shd w:val="clear" w:color="000000" w:fill="FFFFFF"/>
            <w:noWrap/>
            <w:hideMark/>
          </w:tcPr>
          <w:p w:rsidR="002668CF" w:rsidRDefault="002668CF" w:rsidP="002668CF">
            <w:pPr>
              <w:ind w:left="5" w:hanging="5"/>
              <w:jc w:val="right"/>
              <w:rPr>
                <w:rFonts w:ascii="Barlow" w:hAnsi="Barlow" w:cs="Tahoma"/>
                <w:b/>
                <w:bCs/>
                <w:color w:val="000000"/>
                <w:sz w:val="20"/>
                <w:szCs w:val="20"/>
              </w:rPr>
            </w:pPr>
            <w:r>
              <w:rPr>
                <w:rFonts w:ascii="Barlow" w:hAnsi="Barlow" w:cs="Tahoma"/>
                <w:b/>
                <w:bCs/>
                <w:color w:val="000000"/>
                <w:sz w:val="20"/>
                <w:szCs w:val="20"/>
              </w:rPr>
              <w:t xml:space="preserve">                     75,859,099.83 </w:t>
            </w:r>
          </w:p>
        </w:tc>
      </w:tr>
      <w:tr w:rsidR="002668CF" w:rsidTr="002668CF">
        <w:trPr>
          <w:trHeight w:val="270"/>
        </w:trPr>
        <w:tc>
          <w:tcPr>
            <w:tcW w:w="10080"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Arial"/>
                <w:color w:val="000000"/>
                <w:sz w:val="20"/>
                <w:szCs w:val="20"/>
              </w:rPr>
              <w:t>Cuentas por Cobrar a Corto Plazo</w:t>
            </w:r>
          </w:p>
        </w:tc>
        <w:tc>
          <w:tcPr>
            <w:tcW w:w="2260" w:type="dxa"/>
            <w:tcBorders>
              <w:top w:val="nil"/>
              <w:left w:val="nil"/>
              <w:bottom w:val="nil"/>
              <w:right w:val="nil"/>
            </w:tcBorders>
            <w:shd w:val="clear" w:color="000000" w:fill="FFFFFF"/>
            <w:noWrap/>
            <w:hideMark/>
          </w:tcPr>
          <w:p w:rsidR="002668CF" w:rsidRDefault="002668CF">
            <w:pPr>
              <w:jc w:val="right"/>
              <w:rPr>
                <w:rFonts w:ascii="Barlow" w:hAnsi="Barlow" w:cs="Tahoma"/>
                <w:color w:val="000000"/>
                <w:sz w:val="20"/>
                <w:szCs w:val="20"/>
              </w:rPr>
            </w:pPr>
            <w:r>
              <w:rPr>
                <w:rFonts w:ascii="Barlow" w:hAnsi="Barlow" w:cs="Tahoma"/>
                <w:color w:val="000000"/>
                <w:sz w:val="20"/>
                <w:szCs w:val="20"/>
              </w:rPr>
              <w:t xml:space="preserve">                       9,996,335.90 </w:t>
            </w:r>
          </w:p>
        </w:tc>
      </w:tr>
      <w:tr w:rsidR="002668CF" w:rsidTr="002668CF">
        <w:trPr>
          <w:trHeight w:val="270"/>
        </w:trPr>
        <w:tc>
          <w:tcPr>
            <w:tcW w:w="10080"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Arial"/>
                <w:color w:val="000000"/>
                <w:sz w:val="20"/>
                <w:szCs w:val="20"/>
              </w:rPr>
              <w:t>Deudores Diversos por Cobrar a Corto Plazo</w:t>
            </w:r>
          </w:p>
        </w:tc>
        <w:tc>
          <w:tcPr>
            <w:tcW w:w="2260" w:type="dxa"/>
            <w:tcBorders>
              <w:top w:val="nil"/>
              <w:left w:val="nil"/>
              <w:bottom w:val="nil"/>
              <w:right w:val="nil"/>
            </w:tcBorders>
            <w:shd w:val="clear" w:color="000000" w:fill="FFFFFF"/>
            <w:noWrap/>
            <w:hideMark/>
          </w:tcPr>
          <w:p w:rsidR="002668CF" w:rsidRDefault="002668CF">
            <w:pPr>
              <w:jc w:val="right"/>
              <w:rPr>
                <w:rFonts w:ascii="Barlow" w:hAnsi="Barlow" w:cs="Tahoma"/>
                <w:color w:val="000000"/>
                <w:sz w:val="20"/>
                <w:szCs w:val="20"/>
              </w:rPr>
            </w:pPr>
            <w:r>
              <w:rPr>
                <w:rFonts w:ascii="Barlow" w:hAnsi="Barlow" w:cs="Tahoma"/>
                <w:color w:val="000000"/>
                <w:sz w:val="20"/>
                <w:szCs w:val="20"/>
              </w:rPr>
              <w:t xml:space="preserve">                     65,800,959.41 </w:t>
            </w:r>
          </w:p>
        </w:tc>
      </w:tr>
      <w:tr w:rsidR="002668CF" w:rsidTr="002668CF">
        <w:trPr>
          <w:trHeight w:val="270"/>
        </w:trPr>
        <w:tc>
          <w:tcPr>
            <w:tcW w:w="10080" w:type="dxa"/>
            <w:tcBorders>
              <w:top w:val="nil"/>
              <w:left w:val="nil"/>
              <w:bottom w:val="nil"/>
              <w:right w:val="nil"/>
            </w:tcBorders>
            <w:shd w:val="clear" w:color="000000" w:fill="FFFFFF"/>
            <w:noWrap/>
            <w:hideMark/>
          </w:tcPr>
          <w:p w:rsidR="002668CF" w:rsidRDefault="002668CF">
            <w:pPr>
              <w:rPr>
                <w:rFonts w:ascii="Barlow" w:hAnsi="Barlow" w:cs="Tahoma"/>
                <w:color w:val="000000"/>
                <w:sz w:val="20"/>
                <w:szCs w:val="20"/>
              </w:rPr>
            </w:pPr>
            <w:r>
              <w:rPr>
                <w:rFonts w:ascii="Barlow" w:hAnsi="Barlow" w:cs="Arial"/>
                <w:color w:val="000000"/>
                <w:sz w:val="20"/>
                <w:szCs w:val="20"/>
              </w:rPr>
              <w:t>Ingresos por Recuperar a Corto Plazo</w:t>
            </w:r>
          </w:p>
        </w:tc>
        <w:tc>
          <w:tcPr>
            <w:tcW w:w="2260" w:type="dxa"/>
            <w:tcBorders>
              <w:top w:val="nil"/>
              <w:left w:val="nil"/>
              <w:bottom w:val="nil"/>
              <w:right w:val="nil"/>
            </w:tcBorders>
            <w:shd w:val="clear" w:color="000000" w:fill="FFFFFF"/>
            <w:noWrap/>
            <w:hideMark/>
          </w:tcPr>
          <w:p w:rsidR="002668CF" w:rsidRDefault="002668CF">
            <w:pPr>
              <w:jc w:val="right"/>
              <w:rPr>
                <w:rFonts w:ascii="Barlow" w:hAnsi="Barlow" w:cs="Tahoma"/>
                <w:color w:val="000000"/>
                <w:sz w:val="20"/>
                <w:szCs w:val="20"/>
              </w:rPr>
            </w:pPr>
            <w:r>
              <w:rPr>
                <w:rFonts w:ascii="Barlow" w:hAnsi="Barlow" w:cs="Tahoma"/>
                <w:color w:val="000000"/>
                <w:sz w:val="20"/>
                <w:szCs w:val="20"/>
              </w:rPr>
              <w:t xml:space="preserve">                              61,727.73 </w:t>
            </w:r>
          </w:p>
        </w:tc>
      </w:tr>
    </w:tbl>
    <w:p w:rsidR="00171A5D" w:rsidRPr="00953A63" w:rsidRDefault="00171A5D" w:rsidP="00FE5FBD">
      <w:pPr>
        <w:ind w:left="360" w:firstLine="348"/>
        <w:rPr>
          <w:rFonts w:ascii="Barlow" w:hAnsi="Barlow" w:cs="Arial"/>
          <w:sz w:val="20"/>
          <w:szCs w:val="20"/>
        </w:rPr>
      </w:pPr>
    </w:p>
    <w:p w:rsidR="007653C4" w:rsidRPr="00953A63" w:rsidRDefault="00BE4D81" w:rsidP="006B63F8">
      <w:pPr>
        <w:jc w:val="both"/>
        <w:rPr>
          <w:rFonts w:ascii="Barlow" w:hAnsi="Barlow" w:cs="Arial"/>
          <w:sz w:val="20"/>
          <w:szCs w:val="20"/>
        </w:rPr>
      </w:pPr>
      <w:r w:rsidRPr="00953A63">
        <w:rPr>
          <w:rFonts w:ascii="Barlow" w:hAnsi="Barlow" w:cs="Arial"/>
          <w:sz w:val="20"/>
          <w:szCs w:val="20"/>
        </w:rPr>
        <w:t>E</w:t>
      </w:r>
      <w:r w:rsidR="0081412A" w:rsidRPr="00953A63">
        <w:rPr>
          <w:rFonts w:ascii="Barlow" w:hAnsi="Barlow" w:cs="Arial"/>
          <w:sz w:val="20"/>
          <w:szCs w:val="20"/>
        </w:rPr>
        <w:t>n la cuenta de Deudores Diversos por Cobrar a Corto Plazo</w:t>
      </w:r>
      <w:r w:rsidR="006A478F" w:rsidRPr="00953A63">
        <w:rPr>
          <w:rFonts w:ascii="Barlow" w:hAnsi="Barlow" w:cs="Arial"/>
          <w:sz w:val="20"/>
          <w:szCs w:val="20"/>
        </w:rPr>
        <w:t>s, se encuentra incluidos entre otros,</w:t>
      </w:r>
      <w:r w:rsidRPr="00953A63">
        <w:rPr>
          <w:rFonts w:ascii="Barlow" w:hAnsi="Barlow" w:cs="Arial"/>
          <w:sz w:val="20"/>
          <w:szCs w:val="20"/>
        </w:rPr>
        <w:t xml:space="preserve"> </w:t>
      </w:r>
      <w:r w:rsidR="0081412A" w:rsidRPr="00953A63">
        <w:rPr>
          <w:rFonts w:ascii="Barlow" w:hAnsi="Barlow" w:cs="Arial"/>
          <w:sz w:val="20"/>
          <w:szCs w:val="20"/>
        </w:rPr>
        <w:t>la Planta Industrializadora con $</w:t>
      </w:r>
      <w:r w:rsidR="00E87B31" w:rsidRPr="00953A63">
        <w:rPr>
          <w:rFonts w:ascii="Barlow" w:hAnsi="Barlow" w:cs="Arial"/>
          <w:sz w:val="20"/>
          <w:szCs w:val="20"/>
        </w:rPr>
        <w:t>5</w:t>
      </w:r>
      <w:r w:rsidR="00D87EC2">
        <w:rPr>
          <w:rFonts w:ascii="Barlow" w:hAnsi="Barlow" w:cs="Arial"/>
          <w:sz w:val="20"/>
          <w:szCs w:val="20"/>
        </w:rPr>
        <w:t>7</w:t>
      </w:r>
      <w:r w:rsidR="00C1393C" w:rsidRPr="00953A63">
        <w:rPr>
          <w:rFonts w:ascii="Barlow" w:hAnsi="Barlow" w:cs="Arial"/>
          <w:sz w:val="20"/>
          <w:szCs w:val="20"/>
        </w:rPr>
        <w:t>,</w:t>
      </w:r>
      <w:r w:rsidR="00212309">
        <w:rPr>
          <w:rFonts w:ascii="Barlow" w:hAnsi="Barlow" w:cs="Arial"/>
          <w:sz w:val="20"/>
          <w:szCs w:val="20"/>
        </w:rPr>
        <w:t>939,136.38</w:t>
      </w:r>
      <w:r w:rsidR="00B0494C" w:rsidRPr="00953A63">
        <w:rPr>
          <w:rFonts w:ascii="Barlow" w:hAnsi="Barlow" w:cs="Arial"/>
          <w:sz w:val="20"/>
          <w:szCs w:val="20"/>
        </w:rPr>
        <w:t>, de los cuales $</w:t>
      </w:r>
      <w:r w:rsidR="00212309">
        <w:rPr>
          <w:rFonts w:ascii="Barlow" w:hAnsi="Barlow" w:cs="Arial"/>
          <w:sz w:val="20"/>
          <w:szCs w:val="20"/>
        </w:rPr>
        <w:t>2,231,352.54</w:t>
      </w:r>
      <w:r w:rsidR="00B0494C" w:rsidRPr="00953A63">
        <w:rPr>
          <w:rFonts w:ascii="Barlow" w:hAnsi="Barlow" w:cs="Arial"/>
          <w:sz w:val="20"/>
          <w:szCs w:val="20"/>
        </w:rPr>
        <w:t xml:space="preserve"> pertenecen a este </w:t>
      </w:r>
      <w:r w:rsidR="001A7562" w:rsidRPr="00953A63">
        <w:rPr>
          <w:rFonts w:ascii="Barlow" w:hAnsi="Barlow" w:cs="Arial"/>
          <w:sz w:val="20"/>
          <w:szCs w:val="20"/>
        </w:rPr>
        <w:t>ejercicio</w:t>
      </w:r>
      <w:r w:rsidR="00C1393C" w:rsidRPr="00953A63">
        <w:rPr>
          <w:rFonts w:ascii="Barlow" w:hAnsi="Barlow" w:cs="Arial"/>
          <w:sz w:val="20"/>
          <w:szCs w:val="20"/>
        </w:rPr>
        <w:t xml:space="preserve">, cabe señalar que la Planta Industrializadora es una unidad administrativa de este Sistema que no cuenta con UBP. Así </w:t>
      </w:r>
      <w:r w:rsidR="004250CA" w:rsidRPr="00953A63">
        <w:rPr>
          <w:rFonts w:ascii="Barlow" w:hAnsi="Barlow" w:cs="Arial"/>
          <w:sz w:val="20"/>
          <w:szCs w:val="20"/>
        </w:rPr>
        <w:t>mismo se encuentran</w:t>
      </w:r>
      <w:r w:rsidR="00C1393C" w:rsidRPr="00953A63">
        <w:rPr>
          <w:rFonts w:ascii="Barlow" w:hAnsi="Barlow" w:cs="Arial"/>
          <w:sz w:val="20"/>
          <w:szCs w:val="20"/>
        </w:rPr>
        <w:t xml:space="preserve"> las escuelas de Mérida y </w:t>
      </w:r>
      <w:r w:rsidR="004250CA" w:rsidRPr="00953A63">
        <w:rPr>
          <w:rFonts w:ascii="Barlow" w:hAnsi="Barlow" w:cs="Arial"/>
          <w:sz w:val="20"/>
          <w:szCs w:val="20"/>
        </w:rPr>
        <w:t xml:space="preserve"> los Municipios</w:t>
      </w:r>
      <w:r w:rsidR="00C1393C" w:rsidRPr="00953A63">
        <w:rPr>
          <w:rFonts w:ascii="Barlow" w:hAnsi="Barlow" w:cs="Arial"/>
          <w:sz w:val="20"/>
          <w:szCs w:val="20"/>
        </w:rPr>
        <w:t xml:space="preserve"> por los Programas Alimentarios, estos últimos presentan saldos desde el 2012.</w:t>
      </w:r>
      <w:r w:rsidR="004250CA" w:rsidRPr="00953A63">
        <w:rPr>
          <w:rFonts w:ascii="Barlow" w:hAnsi="Barlow" w:cs="Arial"/>
          <w:sz w:val="20"/>
          <w:szCs w:val="20"/>
        </w:rPr>
        <w:t xml:space="preserve"> </w:t>
      </w:r>
      <w:r w:rsidR="00F51654" w:rsidRPr="00953A63">
        <w:rPr>
          <w:rFonts w:ascii="Barlow" w:hAnsi="Barlow" w:cs="Arial"/>
          <w:sz w:val="20"/>
          <w:szCs w:val="20"/>
        </w:rPr>
        <w:t>E</w:t>
      </w:r>
      <w:r w:rsidR="00553302" w:rsidRPr="00953A63">
        <w:rPr>
          <w:rFonts w:ascii="Barlow" w:hAnsi="Barlow" w:cs="Arial"/>
          <w:sz w:val="20"/>
          <w:szCs w:val="20"/>
        </w:rPr>
        <w:t xml:space="preserve">n el rubro de </w:t>
      </w:r>
      <w:r w:rsidR="0074730B" w:rsidRPr="00953A63">
        <w:rPr>
          <w:rFonts w:ascii="Barlow" w:hAnsi="Barlow" w:cs="Arial"/>
          <w:sz w:val="20"/>
          <w:szCs w:val="20"/>
        </w:rPr>
        <w:t xml:space="preserve">Cuentas por  Cobrar a Corto Plazo </w:t>
      </w:r>
      <w:r w:rsidR="004250CA" w:rsidRPr="00953A63">
        <w:rPr>
          <w:rFonts w:ascii="Barlow" w:hAnsi="Barlow" w:cs="Arial"/>
          <w:sz w:val="20"/>
          <w:szCs w:val="20"/>
        </w:rPr>
        <w:t>está</w:t>
      </w:r>
      <w:r w:rsidR="0074730B" w:rsidRPr="00953A63">
        <w:rPr>
          <w:rFonts w:ascii="Barlow" w:hAnsi="Barlow" w:cs="Arial"/>
          <w:sz w:val="20"/>
          <w:szCs w:val="20"/>
        </w:rPr>
        <w:t xml:space="preserve"> la Secretaría de Administración y Finanzas </w:t>
      </w:r>
      <w:r w:rsidR="004250CA" w:rsidRPr="00953A63">
        <w:rPr>
          <w:rFonts w:ascii="Barlow" w:hAnsi="Barlow" w:cs="Arial"/>
          <w:sz w:val="20"/>
          <w:szCs w:val="20"/>
        </w:rPr>
        <w:t xml:space="preserve">con cuentas por pagar </w:t>
      </w:r>
      <w:r w:rsidR="00C1393C" w:rsidRPr="00953A63">
        <w:rPr>
          <w:rFonts w:ascii="Barlow" w:hAnsi="Barlow" w:cs="Arial"/>
          <w:sz w:val="20"/>
          <w:szCs w:val="20"/>
        </w:rPr>
        <w:t>del año 2018.</w:t>
      </w:r>
    </w:p>
    <w:p w:rsidR="0074730B" w:rsidRPr="00953A63" w:rsidRDefault="0074730B" w:rsidP="006B63F8">
      <w:pPr>
        <w:jc w:val="both"/>
        <w:rPr>
          <w:rFonts w:ascii="Barlow" w:hAnsi="Barlow" w:cs="Arial"/>
          <w:sz w:val="20"/>
          <w:szCs w:val="20"/>
        </w:rPr>
      </w:pPr>
    </w:p>
    <w:p w:rsidR="0074730B" w:rsidRDefault="0074730B" w:rsidP="006B63F8">
      <w:pPr>
        <w:jc w:val="both"/>
        <w:rPr>
          <w:rFonts w:ascii="Calibri" w:hAnsi="Calibri"/>
          <w:color w:val="000000"/>
          <w:sz w:val="20"/>
          <w:szCs w:val="20"/>
          <w:u w:val="single"/>
          <w:lang w:val="es-MX" w:eastAsia="es-MX"/>
        </w:rPr>
      </w:pPr>
    </w:p>
    <w:p w:rsidR="00F26D7D" w:rsidRDefault="00F26D7D" w:rsidP="00F26D7D">
      <w:p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t>Bienes Disponibles para su Transformación o Consumo (Inventarios)</w:t>
      </w:r>
    </w:p>
    <w:p w:rsidR="00F26D7D" w:rsidRDefault="00F26D7D" w:rsidP="00F26D7D">
      <w:pPr>
        <w:autoSpaceDE w:val="0"/>
        <w:autoSpaceDN w:val="0"/>
        <w:adjustRightInd w:val="0"/>
        <w:spacing w:line="360" w:lineRule="auto"/>
        <w:jc w:val="both"/>
        <w:rPr>
          <w:rFonts w:ascii="Barlow" w:hAnsi="Barlow" w:cs="Arial"/>
          <w:b/>
          <w:sz w:val="20"/>
          <w:szCs w:val="20"/>
        </w:rPr>
      </w:pPr>
    </w:p>
    <w:p w:rsidR="00F26D7D" w:rsidRPr="00410493" w:rsidRDefault="00F26D7D" w:rsidP="00F26D7D">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 xml:space="preserve">4.- El </w:t>
      </w:r>
      <w:r>
        <w:rPr>
          <w:rFonts w:ascii="Barlow" w:hAnsi="Barlow" w:cs="Arial"/>
          <w:sz w:val="20"/>
          <w:szCs w:val="20"/>
        </w:rPr>
        <w:t>Sistema DIF</w:t>
      </w:r>
      <w:r w:rsidRPr="00410493">
        <w:rPr>
          <w:rFonts w:ascii="Barlow" w:hAnsi="Barlow" w:cs="Arial"/>
          <w:sz w:val="20"/>
          <w:szCs w:val="20"/>
        </w:rPr>
        <w:t xml:space="preserve"> no realiza ningún proceso de transformación y/o elaboración de bienes.</w:t>
      </w:r>
    </w:p>
    <w:p w:rsidR="00F26D7D" w:rsidRPr="00410493" w:rsidRDefault="00F26D7D" w:rsidP="00F26D7D">
      <w:pPr>
        <w:autoSpaceDE w:val="0"/>
        <w:autoSpaceDN w:val="0"/>
        <w:adjustRightInd w:val="0"/>
        <w:spacing w:line="360" w:lineRule="auto"/>
        <w:jc w:val="both"/>
        <w:rPr>
          <w:rFonts w:ascii="Barlow" w:hAnsi="Barlow" w:cs="Arial"/>
          <w:sz w:val="20"/>
          <w:szCs w:val="20"/>
        </w:rPr>
      </w:pPr>
    </w:p>
    <w:p w:rsidR="00F26D7D" w:rsidRPr="00F26D7D" w:rsidRDefault="00F26D7D" w:rsidP="00F26D7D">
      <w:pPr>
        <w:jc w:val="both"/>
        <w:rPr>
          <w:rFonts w:ascii="Barlow" w:hAnsi="Barlow" w:cs="Arial"/>
          <w:sz w:val="20"/>
          <w:szCs w:val="20"/>
        </w:rPr>
      </w:pPr>
      <w:r w:rsidRPr="00410493">
        <w:rPr>
          <w:rFonts w:ascii="Barlow" w:hAnsi="Barlow" w:cs="Arial"/>
          <w:sz w:val="20"/>
          <w:szCs w:val="20"/>
        </w:rPr>
        <w:t xml:space="preserve">5.- </w:t>
      </w:r>
      <w:r>
        <w:rPr>
          <w:rFonts w:ascii="Barlow" w:hAnsi="Barlow" w:cs="Arial"/>
          <w:sz w:val="20"/>
          <w:szCs w:val="20"/>
        </w:rPr>
        <w:t>DIF Programas,</w:t>
      </w:r>
      <w:r w:rsidRPr="00F26D7D">
        <w:rPr>
          <w:rFonts w:ascii="Barlow" w:hAnsi="Barlow" w:cs="Arial"/>
          <w:sz w:val="20"/>
          <w:szCs w:val="20"/>
        </w:rPr>
        <w:t xml:space="preserve"> </w:t>
      </w:r>
      <w:r>
        <w:rPr>
          <w:rFonts w:ascii="Barlow" w:hAnsi="Barlow" w:cs="Arial"/>
          <w:sz w:val="20"/>
          <w:szCs w:val="20"/>
        </w:rPr>
        <w:t>u</w:t>
      </w:r>
      <w:r w:rsidRPr="00F26D7D">
        <w:rPr>
          <w:rFonts w:ascii="Barlow" w:hAnsi="Barlow" w:cs="Arial"/>
          <w:sz w:val="20"/>
          <w:szCs w:val="20"/>
        </w:rPr>
        <w:t>tiliza el método de valuación Primeras Entradas Primeras Salidas (PEPS). Se mantiene un Stock de las despensas, material ortopédico, sillas de ruedas, pañales, y leche. Conforme a las solicitudes a los apoyos que se requieran se mueve el stock de almacén, utilizando dicho método.</w:t>
      </w:r>
    </w:p>
    <w:p w:rsidR="00F26D7D" w:rsidRPr="00F26D7D" w:rsidRDefault="00F26D7D" w:rsidP="00F26D7D">
      <w:pPr>
        <w:jc w:val="both"/>
        <w:rPr>
          <w:rFonts w:ascii="Barlow" w:hAnsi="Barlow" w:cs="Arial"/>
          <w:sz w:val="20"/>
          <w:szCs w:val="20"/>
        </w:rPr>
      </w:pPr>
    </w:p>
    <w:p w:rsidR="00DE5E72" w:rsidRDefault="00B520DF" w:rsidP="00DE5E72">
      <w:pPr>
        <w:jc w:val="both"/>
        <w:rPr>
          <w:rFonts w:ascii="Barlow" w:hAnsi="Barlow" w:cs="Arial"/>
          <w:b/>
          <w:sz w:val="20"/>
          <w:szCs w:val="20"/>
        </w:rPr>
      </w:pPr>
      <w:r w:rsidRPr="000A0427">
        <w:rPr>
          <w:rFonts w:ascii="Barlow" w:hAnsi="Barlow" w:cs="Arial"/>
          <w:b/>
          <w:sz w:val="20"/>
          <w:szCs w:val="20"/>
        </w:rPr>
        <w:t>Inversiones Financieras</w:t>
      </w:r>
    </w:p>
    <w:p w:rsidR="000A0427" w:rsidRPr="000A0427" w:rsidRDefault="000A0427" w:rsidP="00DE5E72">
      <w:pPr>
        <w:jc w:val="both"/>
        <w:rPr>
          <w:rFonts w:ascii="Barlow" w:hAnsi="Barlow" w:cs="Arial"/>
          <w:b/>
          <w:sz w:val="20"/>
          <w:szCs w:val="20"/>
        </w:rPr>
      </w:pPr>
    </w:p>
    <w:p w:rsidR="00085AE3" w:rsidRPr="000A0427" w:rsidRDefault="000A0427" w:rsidP="00DE5E72">
      <w:pPr>
        <w:jc w:val="both"/>
        <w:rPr>
          <w:rFonts w:ascii="Barlow" w:hAnsi="Barlow" w:cs="Arial"/>
          <w:sz w:val="20"/>
          <w:szCs w:val="20"/>
        </w:rPr>
      </w:pPr>
      <w:r w:rsidRPr="000A0427">
        <w:rPr>
          <w:rFonts w:ascii="Barlow" w:hAnsi="Barlow" w:cs="Arial"/>
          <w:sz w:val="20"/>
          <w:szCs w:val="20"/>
        </w:rPr>
        <w:t xml:space="preserve">6. </w:t>
      </w:r>
      <w:r w:rsidR="00B520DF" w:rsidRPr="000A0427">
        <w:rPr>
          <w:rFonts w:ascii="Barlow" w:hAnsi="Barlow" w:cs="Arial"/>
          <w:sz w:val="20"/>
          <w:szCs w:val="20"/>
        </w:rPr>
        <w:t xml:space="preserve">A la presente fecha </w:t>
      </w:r>
      <w:r w:rsidR="006A478F" w:rsidRPr="000A0427">
        <w:rPr>
          <w:rFonts w:ascii="Barlow" w:hAnsi="Barlow" w:cs="Arial"/>
          <w:sz w:val="20"/>
          <w:szCs w:val="20"/>
        </w:rPr>
        <w:t xml:space="preserve">el Sistema DIF </w:t>
      </w:r>
      <w:r>
        <w:rPr>
          <w:rFonts w:ascii="Barlow" w:hAnsi="Barlow" w:cs="Arial"/>
          <w:sz w:val="20"/>
          <w:szCs w:val="20"/>
        </w:rPr>
        <w:t xml:space="preserve"> no cuenta con</w:t>
      </w:r>
      <w:r w:rsidR="00085AE3" w:rsidRPr="000A0427">
        <w:rPr>
          <w:rFonts w:ascii="Barlow" w:hAnsi="Barlow" w:cs="Arial"/>
          <w:sz w:val="20"/>
          <w:szCs w:val="20"/>
        </w:rPr>
        <w:t xml:space="preserve"> in</w:t>
      </w:r>
      <w:r>
        <w:rPr>
          <w:rFonts w:ascii="Barlow" w:hAnsi="Barlow" w:cs="Arial"/>
          <w:sz w:val="20"/>
          <w:szCs w:val="20"/>
        </w:rPr>
        <w:t>versiones financieras, que considera</w:t>
      </w:r>
      <w:r w:rsidR="00085AE3" w:rsidRPr="000A0427">
        <w:rPr>
          <w:rFonts w:ascii="Barlow" w:hAnsi="Barlow" w:cs="Arial"/>
          <w:sz w:val="20"/>
          <w:szCs w:val="20"/>
        </w:rPr>
        <w:t xml:space="preserve"> </w:t>
      </w:r>
      <w:r>
        <w:rPr>
          <w:rFonts w:ascii="Barlow" w:hAnsi="Barlow" w:cs="Arial"/>
          <w:sz w:val="20"/>
          <w:szCs w:val="20"/>
        </w:rPr>
        <w:t xml:space="preserve">los </w:t>
      </w:r>
      <w:r w:rsidR="00085AE3" w:rsidRPr="000A0427">
        <w:rPr>
          <w:rFonts w:ascii="Barlow" w:hAnsi="Barlow" w:cs="Arial"/>
          <w:sz w:val="20"/>
          <w:szCs w:val="20"/>
        </w:rPr>
        <w:t xml:space="preserve">fideicomisos. Sé manejan cuentas productivas en todos los recursos </w:t>
      </w:r>
    </w:p>
    <w:p w:rsidR="00085AE3" w:rsidRDefault="00085AE3" w:rsidP="00DE5E72">
      <w:pPr>
        <w:jc w:val="both"/>
        <w:rPr>
          <w:rFonts w:ascii="Calibri" w:hAnsi="Calibri"/>
          <w:sz w:val="20"/>
          <w:szCs w:val="20"/>
        </w:rPr>
      </w:pPr>
    </w:p>
    <w:p w:rsidR="00FE5FBD" w:rsidRPr="00D0587F" w:rsidRDefault="00FE5FBD" w:rsidP="00DE5E72">
      <w:pPr>
        <w:jc w:val="both"/>
        <w:rPr>
          <w:rFonts w:ascii="Barlow" w:hAnsi="Barlow" w:cs="Arial"/>
          <w:b/>
          <w:sz w:val="20"/>
          <w:szCs w:val="20"/>
        </w:rPr>
      </w:pPr>
      <w:r w:rsidRPr="00D0587F">
        <w:rPr>
          <w:rFonts w:ascii="Barlow" w:hAnsi="Barlow" w:cs="Arial"/>
          <w:b/>
          <w:sz w:val="20"/>
          <w:szCs w:val="20"/>
        </w:rPr>
        <w:t>Depreciación de Activos Fijos y Tasa Aplicada</w:t>
      </w:r>
    </w:p>
    <w:p w:rsidR="00BF3B1E" w:rsidRPr="00437E98" w:rsidRDefault="00BF3B1E" w:rsidP="00FE5FBD">
      <w:pPr>
        <w:ind w:left="708"/>
        <w:jc w:val="both"/>
        <w:rPr>
          <w:rFonts w:ascii="Calibri" w:hAnsi="Calibri"/>
          <w:b/>
          <w:sz w:val="20"/>
          <w:szCs w:val="20"/>
        </w:rPr>
      </w:pPr>
    </w:p>
    <w:p w:rsidR="000A0427" w:rsidRPr="00410493" w:rsidRDefault="000A0427" w:rsidP="000A0427">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8.- El saldo del rubro Bienes muebles e inmuebles que figura en el Estado de situación financiera, se integra como sigue:</w:t>
      </w:r>
    </w:p>
    <w:p w:rsidR="00FE5FBD" w:rsidRPr="000A0427" w:rsidRDefault="00FE5FBD" w:rsidP="000B5162">
      <w:pPr>
        <w:ind w:right="-36"/>
        <w:jc w:val="both"/>
        <w:rPr>
          <w:rFonts w:ascii="Barlow" w:hAnsi="Barlow" w:cs="Arial"/>
          <w:sz w:val="20"/>
          <w:szCs w:val="20"/>
        </w:rPr>
      </w:pPr>
      <w:r w:rsidRPr="000A0427">
        <w:rPr>
          <w:rFonts w:ascii="Barlow" w:hAnsi="Barlow" w:cs="Arial"/>
          <w:sz w:val="20"/>
          <w:szCs w:val="20"/>
        </w:rPr>
        <w:lastRenderedPageBreak/>
        <w:t>Considerando los bienes muebles que se adquirieron hasta 2012 con el mismo porcentaje de depreciación desde su inicio; los Bienes Muebles adquiridos a partir de Enero de 2013 se aplicara el porcentaje de depreciación anual emitido en la Ley General de Contabilidad Gubernamental.</w:t>
      </w:r>
      <w:r w:rsidR="00085AE3" w:rsidRPr="000A0427">
        <w:rPr>
          <w:rFonts w:ascii="Barlow" w:hAnsi="Barlow" w:cs="Arial"/>
          <w:sz w:val="20"/>
          <w:szCs w:val="20"/>
        </w:rPr>
        <w:t xml:space="preserve"> </w:t>
      </w:r>
    </w:p>
    <w:p w:rsidR="008F58A8" w:rsidRDefault="008F58A8" w:rsidP="000B5162">
      <w:pPr>
        <w:ind w:right="-36"/>
        <w:jc w:val="both"/>
        <w:rPr>
          <w:rFonts w:ascii="Calibri" w:hAnsi="Calibri"/>
          <w:i/>
          <w:sz w:val="20"/>
          <w:szCs w:val="20"/>
        </w:rPr>
      </w:pPr>
    </w:p>
    <w:tbl>
      <w:tblPr>
        <w:tblW w:w="13056" w:type="dxa"/>
        <w:tblInd w:w="55" w:type="dxa"/>
        <w:tblCellMar>
          <w:left w:w="70" w:type="dxa"/>
          <w:right w:w="70" w:type="dxa"/>
        </w:tblCellMar>
        <w:tblLook w:val="04A0"/>
      </w:tblPr>
      <w:tblGrid>
        <w:gridCol w:w="9654"/>
        <w:gridCol w:w="3402"/>
      </w:tblGrid>
      <w:tr w:rsidR="00212309" w:rsidTr="00212309">
        <w:trPr>
          <w:trHeight w:val="270"/>
        </w:trPr>
        <w:tc>
          <w:tcPr>
            <w:tcW w:w="9654" w:type="dxa"/>
            <w:tcBorders>
              <w:top w:val="nil"/>
              <w:left w:val="nil"/>
              <w:bottom w:val="nil"/>
              <w:right w:val="nil"/>
            </w:tcBorders>
            <w:shd w:val="clear" w:color="000000" w:fill="FFFFFF"/>
            <w:noWrap/>
            <w:hideMark/>
          </w:tcPr>
          <w:p w:rsidR="00212309" w:rsidRDefault="00212309">
            <w:pPr>
              <w:rPr>
                <w:rFonts w:ascii="Barlow" w:hAnsi="Barlow" w:cs="Tahoma"/>
                <w:b/>
                <w:bCs/>
                <w:color w:val="000000"/>
                <w:sz w:val="20"/>
                <w:szCs w:val="20"/>
              </w:rPr>
            </w:pPr>
            <w:r>
              <w:rPr>
                <w:rFonts w:ascii="Barlow" w:hAnsi="Barlow" w:cs="Tahoma"/>
                <w:b/>
                <w:bCs/>
                <w:color w:val="000000"/>
                <w:sz w:val="20"/>
                <w:szCs w:val="20"/>
              </w:rPr>
              <w:t>Rubro</w:t>
            </w:r>
          </w:p>
        </w:tc>
        <w:tc>
          <w:tcPr>
            <w:tcW w:w="3402" w:type="dxa"/>
            <w:tcBorders>
              <w:top w:val="nil"/>
              <w:left w:val="nil"/>
              <w:bottom w:val="nil"/>
              <w:right w:val="nil"/>
            </w:tcBorders>
            <w:shd w:val="clear" w:color="000000" w:fill="FFFFFF"/>
            <w:noWrap/>
            <w:vAlign w:val="bottom"/>
            <w:hideMark/>
          </w:tcPr>
          <w:p w:rsidR="00212309" w:rsidRDefault="00212309">
            <w:pPr>
              <w:jc w:val="center"/>
              <w:rPr>
                <w:rFonts w:ascii="Calibri" w:hAnsi="Calibri" w:cs="Tahoma"/>
                <w:b/>
                <w:bCs/>
                <w:color w:val="000000"/>
                <w:sz w:val="18"/>
                <w:szCs w:val="18"/>
              </w:rPr>
            </w:pPr>
            <w:r>
              <w:rPr>
                <w:rFonts w:ascii="Calibri" w:hAnsi="Calibri" w:cs="Tahoma"/>
                <w:b/>
                <w:bCs/>
                <w:color w:val="000000"/>
                <w:sz w:val="18"/>
                <w:szCs w:val="18"/>
              </w:rPr>
              <w:t>Importe al 30-06-2019</w:t>
            </w:r>
          </w:p>
        </w:tc>
      </w:tr>
      <w:tr w:rsidR="00212309" w:rsidTr="00212309">
        <w:trPr>
          <w:trHeight w:val="270"/>
        </w:trPr>
        <w:tc>
          <w:tcPr>
            <w:tcW w:w="9654" w:type="dxa"/>
            <w:tcBorders>
              <w:top w:val="nil"/>
              <w:left w:val="nil"/>
              <w:bottom w:val="nil"/>
              <w:right w:val="nil"/>
            </w:tcBorders>
            <w:shd w:val="clear" w:color="000000" w:fill="FFFFFF"/>
            <w:noWrap/>
            <w:hideMark/>
          </w:tcPr>
          <w:p w:rsidR="00212309" w:rsidRDefault="00212309">
            <w:pPr>
              <w:rPr>
                <w:rFonts w:ascii="Barlow" w:hAnsi="Barlow" w:cs="Tahoma"/>
                <w:b/>
                <w:bCs/>
                <w:color w:val="000000"/>
                <w:sz w:val="20"/>
                <w:szCs w:val="20"/>
              </w:rPr>
            </w:pPr>
            <w:r>
              <w:rPr>
                <w:rFonts w:ascii="Barlow" w:hAnsi="Barlow" w:cs="Tahoma"/>
                <w:b/>
                <w:bCs/>
                <w:color w:val="000000"/>
                <w:sz w:val="20"/>
                <w:szCs w:val="20"/>
              </w:rPr>
              <w:t>Bienes Inmuebles, Infraestructura y Construcciones en Proceso</w:t>
            </w:r>
          </w:p>
        </w:tc>
        <w:tc>
          <w:tcPr>
            <w:tcW w:w="3402" w:type="dxa"/>
            <w:tcBorders>
              <w:top w:val="nil"/>
              <w:left w:val="nil"/>
              <w:bottom w:val="nil"/>
              <w:right w:val="nil"/>
            </w:tcBorders>
            <w:shd w:val="clear" w:color="000000" w:fill="FFFFFF"/>
            <w:noWrap/>
            <w:hideMark/>
          </w:tcPr>
          <w:p w:rsidR="00212309" w:rsidRDefault="00212309">
            <w:pPr>
              <w:rPr>
                <w:rFonts w:ascii="Barlow" w:hAnsi="Barlow" w:cs="Tahoma"/>
                <w:b/>
                <w:bCs/>
                <w:color w:val="000000"/>
                <w:sz w:val="20"/>
                <w:szCs w:val="20"/>
              </w:rPr>
            </w:pPr>
            <w:r>
              <w:rPr>
                <w:rFonts w:ascii="Barlow" w:hAnsi="Barlow" w:cs="Tahoma"/>
                <w:b/>
                <w:bCs/>
                <w:color w:val="000000"/>
                <w:sz w:val="20"/>
                <w:szCs w:val="20"/>
              </w:rPr>
              <w:t xml:space="preserve">                      27,133,458.32 </w:t>
            </w:r>
          </w:p>
        </w:tc>
      </w:tr>
      <w:tr w:rsidR="00212309" w:rsidTr="00212309">
        <w:trPr>
          <w:trHeight w:val="270"/>
        </w:trPr>
        <w:tc>
          <w:tcPr>
            <w:tcW w:w="9654" w:type="dxa"/>
            <w:tcBorders>
              <w:top w:val="nil"/>
              <w:left w:val="nil"/>
              <w:bottom w:val="nil"/>
              <w:right w:val="nil"/>
            </w:tcBorders>
            <w:shd w:val="clear" w:color="000000" w:fill="FFFFFF"/>
            <w:noWrap/>
            <w:hideMark/>
          </w:tcPr>
          <w:p w:rsidR="00212309" w:rsidRDefault="00212309">
            <w:pPr>
              <w:rPr>
                <w:rFonts w:ascii="Barlow" w:hAnsi="Barlow" w:cs="Tahoma"/>
                <w:b/>
                <w:bCs/>
                <w:color w:val="000000"/>
                <w:sz w:val="20"/>
                <w:szCs w:val="20"/>
              </w:rPr>
            </w:pPr>
            <w:r>
              <w:rPr>
                <w:rFonts w:ascii="Barlow" w:hAnsi="Barlow" w:cs="Tahoma"/>
                <w:b/>
                <w:bCs/>
                <w:color w:val="000000"/>
                <w:sz w:val="20"/>
                <w:szCs w:val="20"/>
              </w:rPr>
              <w:t>Bienes Muebles</w:t>
            </w:r>
          </w:p>
        </w:tc>
        <w:tc>
          <w:tcPr>
            <w:tcW w:w="3402" w:type="dxa"/>
            <w:tcBorders>
              <w:top w:val="nil"/>
              <w:left w:val="nil"/>
              <w:bottom w:val="nil"/>
              <w:right w:val="nil"/>
            </w:tcBorders>
            <w:shd w:val="clear" w:color="000000" w:fill="FFFFFF"/>
            <w:noWrap/>
            <w:hideMark/>
          </w:tcPr>
          <w:p w:rsidR="00212309" w:rsidRDefault="00212309">
            <w:pPr>
              <w:rPr>
                <w:rFonts w:ascii="Barlow" w:hAnsi="Barlow" w:cs="Tahoma"/>
                <w:b/>
                <w:bCs/>
                <w:color w:val="000000"/>
                <w:sz w:val="20"/>
                <w:szCs w:val="20"/>
              </w:rPr>
            </w:pPr>
            <w:r>
              <w:rPr>
                <w:rFonts w:ascii="Barlow" w:hAnsi="Barlow" w:cs="Tahoma"/>
                <w:b/>
                <w:bCs/>
                <w:color w:val="000000"/>
                <w:sz w:val="20"/>
                <w:szCs w:val="20"/>
              </w:rPr>
              <w:t xml:space="preserve">                     153,679,052.07 </w:t>
            </w:r>
          </w:p>
        </w:tc>
      </w:tr>
      <w:tr w:rsidR="00212309" w:rsidTr="00212309">
        <w:trPr>
          <w:trHeight w:val="270"/>
        </w:trPr>
        <w:tc>
          <w:tcPr>
            <w:tcW w:w="9654" w:type="dxa"/>
            <w:tcBorders>
              <w:top w:val="nil"/>
              <w:left w:val="nil"/>
              <w:bottom w:val="nil"/>
              <w:right w:val="nil"/>
            </w:tcBorders>
            <w:shd w:val="clear" w:color="000000" w:fill="FFFFFF"/>
            <w:noWrap/>
            <w:hideMark/>
          </w:tcPr>
          <w:p w:rsidR="00212309" w:rsidRDefault="00212309">
            <w:pPr>
              <w:rPr>
                <w:rFonts w:ascii="Barlow" w:hAnsi="Barlow" w:cs="Tahoma"/>
                <w:color w:val="000000"/>
                <w:sz w:val="20"/>
                <w:szCs w:val="20"/>
              </w:rPr>
            </w:pPr>
            <w:r>
              <w:rPr>
                <w:rFonts w:ascii="Barlow" w:hAnsi="Barlow" w:cs="Tahoma"/>
                <w:color w:val="000000"/>
                <w:sz w:val="20"/>
                <w:szCs w:val="20"/>
              </w:rPr>
              <w:t>Mobiliario y Equipo de Administración</w:t>
            </w:r>
          </w:p>
        </w:tc>
        <w:tc>
          <w:tcPr>
            <w:tcW w:w="3402" w:type="dxa"/>
            <w:tcBorders>
              <w:top w:val="nil"/>
              <w:left w:val="nil"/>
              <w:bottom w:val="nil"/>
              <w:right w:val="nil"/>
            </w:tcBorders>
            <w:shd w:val="clear" w:color="000000" w:fill="FFFFFF"/>
            <w:noWrap/>
            <w:hideMark/>
          </w:tcPr>
          <w:p w:rsidR="00212309" w:rsidRDefault="00212309">
            <w:pPr>
              <w:rPr>
                <w:rFonts w:ascii="Barlow" w:hAnsi="Barlow" w:cs="Tahoma"/>
                <w:color w:val="000000"/>
                <w:sz w:val="20"/>
                <w:szCs w:val="20"/>
              </w:rPr>
            </w:pPr>
            <w:r>
              <w:rPr>
                <w:rFonts w:ascii="Barlow" w:hAnsi="Barlow" w:cs="Tahoma"/>
                <w:color w:val="000000"/>
                <w:sz w:val="20"/>
                <w:szCs w:val="20"/>
              </w:rPr>
              <w:t xml:space="preserve">                       59,182,947.81 </w:t>
            </w:r>
          </w:p>
        </w:tc>
      </w:tr>
      <w:tr w:rsidR="00212309" w:rsidTr="00212309">
        <w:trPr>
          <w:trHeight w:val="270"/>
        </w:trPr>
        <w:tc>
          <w:tcPr>
            <w:tcW w:w="9654" w:type="dxa"/>
            <w:tcBorders>
              <w:top w:val="nil"/>
              <w:left w:val="nil"/>
              <w:bottom w:val="nil"/>
              <w:right w:val="nil"/>
            </w:tcBorders>
            <w:shd w:val="clear" w:color="000000" w:fill="FFFFFF"/>
            <w:noWrap/>
            <w:hideMark/>
          </w:tcPr>
          <w:p w:rsidR="00212309" w:rsidRDefault="00212309">
            <w:pPr>
              <w:rPr>
                <w:rFonts w:ascii="Barlow" w:hAnsi="Barlow" w:cs="Tahoma"/>
                <w:color w:val="000000"/>
                <w:sz w:val="20"/>
                <w:szCs w:val="20"/>
              </w:rPr>
            </w:pPr>
            <w:r>
              <w:rPr>
                <w:rFonts w:ascii="Barlow" w:hAnsi="Barlow" w:cs="Tahoma"/>
                <w:color w:val="000000"/>
                <w:sz w:val="20"/>
                <w:szCs w:val="20"/>
              </w:rPr>
              <w:t>Mobiliario y Equipo Educacional y Recreativo</w:t>
            </w:r>
          </w:p>
        </w:tc>
        <w:tc>
          <w:tcPr>
            <w:tcW w:w="3402" w:type="dxa"/>
            <w:tcBorders>
              <w:top w:val="nil"/>
              <w:left w:val="nil"/>
              <w:bottom w:val="nil"/>
              <w:right w:val="nil"/>
            </w:tcBorders>
            <w:shd w:val="clear" w:color="000000" w:fill="FFFFFF"/>
            <w:noWrap/>
            <w:hideMark/>
          </w:tcPr>
          <w:p w:rsidR="00212309" w:rsidRDefault="00212309">
            <w:pPr>
              <w:rPr>
                <w:rFonts w:ascii="Barlow" w:hAnsi="Barlow" w:cs="Tahoma"/>
                <w:color w:val="000000"/>
                <w:sz w:val="20"/>
                <w:szCs w:val="20"/>
              </w:rPr>
            </w:pPr>
            <w:r>
              <w:rPr>
                <w:rFonts w:ascii="Barlow" w:hAnsi="Barlow" w:cs="Tahoma"/>
                <w:color w:val="000000"/>
                <w:sz w:val="20"/>
                <w:szCs w:val="20"/>
              </w:rPr>
              <w:t xml:space="preserve">                             578,623.11 </w:t>
            </w:r>
          </w:p>
        </w:tc>
      </w:tr>
      <w:tr w:rsidR="00212309" w:rsidTr="00212309">
        <w:trPr>
          <w:trHeight w:val="270"/>
        </w:trPr>
        <w:tc>
          <w:tcPr>
            <w:tcW w:w="9654" w:type="dxa"/>
            <w:tcBorders>
              <w:top w:val="nil"/>
              <w:left w:val="nil"/>
              <w:bottom w:val="nil"/>
              <w:right w:val="nil"/>
            </w:tcBorders>
            <w:shd w:val="clear" w:color="000000" w:fill="FFFFFF"/>
            <w:noWrap/>
            <w:hideMark/>
          </w:tcPr>
          <w:p w:rsidR="00212309" w:rsidRDefault="00212309">
            <w:pPr>
              <w:rPr>
                <w:rFonts w:ascii="Barlow" w:hAnsi="Barlow" w:cs="Tahoma"/>
                <w:color w:val="000000"/>
                <w:sz w:val="20"/>
                <w:szCs w:val="20"/>
              </w:rPr>
            </w:pPr>
            <w:r>
              <w:rPr>
                <w:rFonts w:ascii="Barlow" w:hAnsi="Barlow" w:cs="Tahoma"/>
                <w:color w:val="000000"/>
                <w:sz w:val="20"/>
                <w:szCs w:val="20"/>
              </w:rPr>
              <w:t>Equipo e Instrumental Médico y de Laboratorio</w:t>
            </w:r>
          </w:p>
        </w:tc>
        <w:tc>
          <w:tcPr>
            <w:tcW w:w="3402" w:type="dxa"/>
            <w:tcBorders>
              <w:top w:val="nil"/>
              <w:left w:val="nil"/>
              <w:bottom w:val="nil"/>
              <w:right w:val="nil"/>
            </w:tcBorders>
            <w:shd w:val="clear" w:color="000000" w:fill="FFFFFF"/>
            <w:noWrap/>
            <w:hideMark/>
          </w:tcPr>
          <w:p w:rsidR="00212309" w:rsidRDefault="00212309">
            <w:pPr>
              <w:rPr>
                <w:rFonts w:ascii="Barlow" w:hAnsi="Barlow" w:cs="Tahoma"/>
                <w:color w:val="000000"/>
                <w:sz w:val="20"/>
                <w:szCs w:val="20"/>
              </w:rPr>
            </w:pPr>
            <w:r>
              <w:rPr>
                <w:rFonts w:ascii="Barlow" w:hAnsi="Barlow" w:cs="Tahoma"/>
                <w:color w:val="000000"/>
                <w:sz w:val="20"/>
                <w:szCs w:val="20"/>
              </w:rPr>
              <w:t xml:space="preserve">                        13,514,721.35 </w:t>
            </w:r>
          </w:p>
        </w:tc>
      </w:tr>
      <w:tr w:rsidR="00212309" w:rsidTr="00212309">
        <w:trPr>
          <w:trHeight w:val="270"/>
        </w:trPr>
        <w:tc>
          <w:tcPr>
            <w:tcW w:w="9654" w:type="dxa"/>
            <w:tcBorders>
              <w:top w:val="nil"/>
              <w:left w:val="nil"/>
              <w:bottom w:val="nil"/>
              <w:right w:val="nil"/>
            </w:tcBorders>
            <w:shd w:val="clear" w:color="000000" w:fill="FFFFFF"/>
            <w:noWrap/>
            <w:hideMark/>
          </w:tcPr>
          <w:p w:rsidR="00212309" w:rsidRDefault="00212309">
            <w:pPr>
              <w:rPr>
                <w:rFonts w:ascii="Barlow" w:hAnsi="Barlow" w:cs="Tahoma"/>
                <w:color w:val="000000"/>
                <w:sz w:val="20"/>
                <w:szCs w:val="20"/>
              </w:rPr>
            </w:pPr>
            <w:r>
              <w:rPr>
                <w:rFonts w:ascii="Barlow" w:hAnsi="Barlow" w:cs="Tahoma"/>
                <w:color w:val="000000"/>
                <w:sz w:val="20"/>
                <w:szCs w:val="20"/>
              </w:rPr>
              <w:t>VEHÍCULOS Y EQUIPO DE TRANSPORTE</w:t>
            </w:r>
          </w:p>
        </w:tc>
        <w:tc>
          <w:tcPr>
            <w:tcW w:w="3402" w:type="dxa"/>
            <w:tcBorders>
              <w:top w:val="nil"/>
              <w:left w:val="nil"/>
              <w:bottom w:val="nil"/>
              <w:right w:val="nil"/>
            </w:tcBorders>
            <w:shd w:val="clear" w:color="000000" w:fill="FFFFFF"/>
            <w:noWrap/>
            <w:hideMark/>
          </w:tcPr>
          <w:p w:rsidR="00212309" w:rsidRDefault="00212309">
            <w:pPr>
              <w:rPr>
                <w:rFonts w:ascii="Barlow" w:hAnsi="Barlow" w:cs="Tahoma"/>
                <w:color w:val="000000"/>
                <w:sz w:val="20"/>
                <w:szCs w:val="20"/>
              </w:rPr>
            </w:pPr>
            <w:r>
              <w:rPr>
                <w:rFonts w:ascii="Barlow" w:hAnsi="Barlow" w:cs="Tahoma"/>
                <w:color w:val="000000"/>
                <w:sz w:val="20"/>
                <w:szCs w:val="20"/>
              </w:rPr>
              <w:t xml:space="preserve">                       76,965,971.48 </w:t>
            </w:r>
          </w:p>
        </w:tc>
      </w:tr>
      <w:tr w:rsidR="00212309" w:rsidTr="00212309">
        <w:trPr>
          <w:trHeight w:val="270"/>
        </w:trPr>
        <w:tc>
          <w:tcPr>
            <w:tcW w:w="9654" w:type="dxa"/>
            <w:tcBorders>
              <w:top w:val="nil"/>
              <w:left w:val="nil"/>
              <w:bottom w:val="nil"/>
              <w:right w:val="nil"/>
            </w:tcBorders>
            <w:shd w:val="clear" w:color="000000" w:fill="FFFFFF"/>
            <w:noWrap/>
            <w:hideMark/>
          </w:tcPr>
          <w:p w:rsidR="00212309" w:rsidRDefault="00212309">
            <w:pPr>
              <w:rPr>
                <w:rFonts w:ascii="Barlow" w:hAnsi="Barlow" w:cs="Tahoma"/>
                <w:color w:val="000000"/>
                <w:sz w:val="20"/>
                <w:szCs w:val="20"/>
              </w:rPr>
            </w:pPr>
            <w:r>
              <w:rPr>
                <w:rFonts w:ascii="Barlow" w:hAnsi="Barlow" w:cs="Tahoma"/>
                <w:color w:val="000000"/>
                <w:sz w:val="20"/>
                <w:szCs w:val="20"/>
              </w:rPr>
              <w:t>Maquinaria, Otros Equipos y Herramientas</w:t>
            </w:r>
          </w:p>
        </w:tc>
        <w:tc>
          <w:tcPr>
            <w:tcW w:w="3402" w:type="dxa"/>
            <w:tcBorders>
              <w:top w:val="nil"/>
              <w:left w:val="nil"/>
              <w:bottom w:val="nil"/>
              <w:right w:val="nil"/>
            </w:tcBorders>
            <w:shd w:val="clear" w:color="000000" w:fill="FFFFFF"/>
            <w:noWrap/>
            <w:hideMark/>
          </w:tcPr>
          <w:p w:rsidR="00212309" w:rsidRDefault="00212309">
            <w:pPr>
              <w:rPr>
                <w:rFonts w:ascii="Barlow" w:hAnsi="Barlow" w:cs="Tahoma"/>
                <w:color w:val="000000"/>
                <w:sz w:val="20"/>
                <w:szCs w:val="20"/>
              </w:rPr>
            </w:pPr>
            <w:r>
              <w:rPr>
                <w:rFonts w:ascii="Barlow" w:hAnsi="Barlow" w:cs="Tahoma"/>
                <w:color w:val="000000"/>
                <w:sz w:val="20"/>
                <w:szCs w:val="20"/>
              </w:rPr>
              <w:t xml:space="preserve">                        3,436,788.32 </w:t>
            </w:r>
          </w:p>
        </w:tc>
      </w:tr>
    </w:tbl>
    <w:p w:rsidR="00151C7F" w:rsidRDefault="00151C7F" w:rsidP="005924A8">
      <w:pPr>
        <w:tabs>
          <w:tab w:val="left" w:pos="7230"/>
        </w:tabs>
        <w:ind w:right="-36"/>
        <w:jc w:val="both"/>
        <w:rPr>
          <w:rFonts w:ascii="Calibri" w:hAnsi="Calibri"/>
          <w:i/>
          <w:sz w:val="20"/>
          <w:szCs w:val="20"/>
        </w:rPr>
      </w:pPr>
    </w:p>
    <w:p w:rsidR="008F58A8" w:rsidRDefault="008F58A8" w:rsidP="000B5162">
      <w:pPr>
        <w:ind w:right="-36"/>
        <w:jc w:val="both"/>
        <w:rPr>
          <w:rFonts w:ascii="Calibri" w:hAnsi="Calibri"/>
          <w:i/>
          <w:sz w:val="20"/>
          <w:szCs w:val="20"/>
        </w:rPr>
      </w:pPr>
    </w:p>
    <w:p w:rsidR="000A0427" w:rsidRPr="00410493" w:rsidRDefault="000A0427" w:rsidP="000A0427">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 xml:space="preserve">Los saldos registrados en el rubro de Bienes Muebles e Inmuebles, representan el monto de la inversión realizada por el </w:t>
      </w:r>
      <w:r>
        <w:rPr>
          <w:rFonts w:ascii="Barlow" w:hAnsi="Barlow" w:cs="Arial"/>
          <w:sz w:val="20"/>
          <w:szCs w:val="20"/>
        </w:rPr>
        <w:t xml:space="preserve">Sistema DIF </w:t>
      </w:r>
      <w:r w:rsidRPr="00410493">
        <w:rPr>
          <w:rFonts w:ascii="Barlow" w:hAnsi="Barlow" w:cs="Arial"/>
          <w:sz w:val="20"/>
          <w:szCs w:val="20"/>
        </w:rPr>
        <w:t xml:space="preserve"> en Propiedades, Mobiliario y Equipo, para el desempeño de sus actividades administrativas,</w:t>
      </w:r>
    </w:p>
    <w:p w:rsidR="000A0427" w:rsidRPr="00410493" w:rsidRDefault="000A0427" w:rsidP="000A0427">
      <w:pPr>
        <w:rPr>
          <w:rFonts w:ascii="Barlow" w:hAnsi="Barlow" w:cs="Arial"/>
          <w:sz w:val="20"/>
          <w:szCs w:val="20"/>
        </w:rPr>
      </w:pPr>
    </w:p>
    <w:p w:rsidR="000A0427" w:rsidRPr="00410493" w:rsidRDefault="000A0427" w:rsidP="000A0427">
      <w:pPr>
        <w:rPr>
          <w:rFonts w:ascii="Barlow" w:hAnsi="Barlow" w:cs="Arial"/>
          <w:sz w:val="20"/>
          <w:szCs w:val="20"/>
        </w:rPr>
      </w:pPr>
      <w:r w:rsidRPr="00410493">
        <w:rPr>
          <w:rFonts w:ascii="Barlow" w:hAnsi="Barlow" w:cs="Arial"/>
          <w:sz w:val="20"/>
          <w:szCs w:val="20"/>
        </w:rPr>
        <w:t>Respecto a la depreciación se indica lo siguiente:</w:t>
      </w:r>
    </w:p>
    <w:p w:rsidR="000A0427" w:rsidRPr="00410493" w:rsidRDefault="000A0427" w:rsidP="000A0427">
      <w:pPr>
        <w:ind w:left="708" w:firstLine="708"/>
        <w:rPr>
          <w:rFonts w:ascii="Barlow" w:hAnsi="Barlow" w:cs="Arial"/>
          <w:sz w:val="20"/>
          <w:szCs w:val="20"/>
        </w:rPr>
      </w:pPr>
    </w:p>
    <w:p w:rsidR="000A0427" w:rsidRPr="000A0427" w:rsidRDefault="000A0427" w:rsidP="000A0427">
      <w:pPr>
        <w:rPr>
          <w:rFonts w:ascii="Barlow" w:hAnsi="Barlow" w:cs="Arial"/>
          <w:sz w:val="20"/>
          <w:szCs w:val="20"/>
        </w:rPr>
      </w:pPr>
      <w:r w:rsidRPr="000A0427">
        <w:rPr>
          <w:rFonts w:ascii="Barlow" w:hAnsi="Barlow" w:cs="Arial"/>
          <w:sz w:val="20"/>
          <w:szCs w:val="20"/>
        </w:rPr>
        <w:t>Para el cálculo de la depreciación se utiliza el método establecido por el CONAC mediante las Reglas Específicas del Registro y Valoración del Activo.</w:t>
      </w:r>
    </w:p>
    <w:p w:rsidR="000A0427" w:rsidRDefault="000A0427" w:rsidP="000A0427">
      <w:pPr>
        <w:pStyle w:val="Texto"/>
        <w:ind w:left="1416" w:firstLine="0"/>
        <w:rPr>
          <w:rFonts w:ascii="Barlow" w:hAnsi="Barlow"/>
          <w:color w:val="000000"/>
          <w:sz w:val="20"/>
          <w:szCs w:val="20"/>
        </w:rPr>
      </w:pPr>
    </w:p>
    <w:p w:rsidR="00914DC1" w:rsidRPr="00410493" w:rsidRDefault="00914DC1" w:rsidP="000A0427">
      <w:pPr>
        <w:pStyle w:val="Texto"/>
        <w:ind w:left="1416" w:firstLine="0"/>
        <w:rPr>
          <w:rFonts w:ascii="Barlow" w:hAnsi="Barlow"/>
          <w:color w:val="000000"/>
          <w:sz w:val="20"/>
          <w:szCs w:val="20"/>
        </w:rPr>
      </w:pPr>
    </w:p>
    <w:p w:rsidR="00D0587F" w:rsidRPr="00410493" w:rsidRDefault="00914DC1" w:rsidP="00914DC1">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9.- El saldo en Bienes Intangibles y diferidos se integra como sigue:</w:t>
      </w:r>
    </w:p>
    <w:tbl>
      <w:tblPr>
        <w:tblW w:w="9300" w:type="dxa"/>
        <w:tblInd w:w="55" w:type="dxa"/>
        <w:tblCellMar>
          <w:left w:w="70" w:type="dxa"/>
          <w:right w:w="70" w:type="dxa"/>
        </w:tblCellMar>
        <w:tblLook w:val="04A0"/>
      </w:tblPr>
      <w:tblGrid>
        <w:gridCol w:w="5300"/>
        <w:gridCol w:w="4000"/>
      </w:tblGrid>
      <w:tr w:rsidR="00914DC1" w:rsidTr="00D0587F">
        <w:trPr>
          <w:trHeight w:val="315"/>
        </w:trPr>
        <w:tc>
          <w:tcPr>
            <w:tcW w:w="5300" w:type="dxa"/>
            <w:shd w:val="clear" w:color="000000" w:fill="FFFFFF"/>
            <w:hideMark/>
          </w:tcPr>
          <w:p w:rsidR="00914DC1" w:rsidRDefault="00914DC1">
            <w:pPr>
              <w:jc w:val="both"/>
              <w:rPr>
                <w:rFonts w:ascii="Barlow" w:hAnsi="Barlow" w:cs="Tahoma"/>
                <w:b/>
                <w:bCs/>
                <w:color w:val="000000"/>
                <w:sz w:val="20"/>
                <w:szCs w:val="20"/>
              </w:rPr>
            </w:pPr>
            <w:bookmarkStart w:id="2" w:name="m3"/>
            <w:bookmarkEnd w:id="2"/>
            <w:r>
              <w:rPr>
                <w:rFonts w:ascii="Barlow" w:hAnsi="Barlow" w:cs="Tahoma"/>
                <w:b/>
                <w:bCs/>
                <w:color w:val="000000"/>
                <w:sz w:val="20"/>
                <w:szCs w:val="20"/>
              </w:rPr>
              <w:t>ACTIVOS INTANGIBLES</w:t>
            </w:r>
          </w:p>
        </w:tc>
        <w:tc>
          <w:tcPr>
            <w:tcW w:w="4000" w:type="dxa"/>
            <w:shd w:val="clear" w:color="000000" w:fill="FFFFFF"/>
            <w:noWrap/>
            <w:hideMark/>
          </w:tcPr>
          <w:p w:rsidR="00914DC1" w:rsidRDefault="00914DC1">
            <w:pPr>
              <w:jc w:val="right"/>
              <w:rPr>
                <w:rFonts w:ascii="Barlow" w:hAnsi="Barlow" w:cs="Tahoma"/>
                <w:b/>
                <w:bCs/>
                <w:color w:val="000000"/>
                <w:sz w:val="20"/>
                <w:szCs w:val="20"/>
              </w:rPr>
            </w:pPr>
            <w:r>
              <w:rPr>
                <w:rFonts w:ascii="Barlow" w:hAnsi="Barlow" w:cs="Tahoma"/>
                <w:b/>
                <w:bCs/>
                <w:color w:val="000000"/>
                <w:sz w:val="20"/>
                <w:szCs w:val="20"/>
              </w:rPr>
              <w:t xml:space="preserve">                                                                  210,849.55 </w:t>
            </w:r>
          </w:p>
        </w:tc>
      </w:tr>
      <w:tr w:rsidR="00914DC1" w:rsidTr="00D0587F">
        <w:trPr>
          <w:trHeight w:val="315"/>
        </w:trPr>
        <w:tc>
          <w:tcPr>
            <w:tcW w:w="5300" w:type="dxa"/>
            <w:shd w:val="clear" w:color="000000" w:fill="FFFFFF"/>
            <w:hideMark/>
          </w:tcPr>
          <w:p w:rsidR="00914DC1" w:rsidRDefault="00914DC1">
            <w:pPr>
              <w:jc w:val="both"/>
              <w:rPr>
                <w:rFonts w:ascii="Barlow" w:hAnsi="Barlow" w:cs="Tahoma"/>
                <w:color w:val="000000"/>
                <w:sz w:val="20"/>
                <w:szCs w:val="20"/>
              </w:rPr>
            </w:pPr>
            <w:r>
              <w:rPr>
                <w:rFonts w:ascii="Barlow" w:hAnsi="Barlow" w:cs="Tahoma"/>
                <w:color w:val="000000"/>
                <w:sz w:val="20"/>
                <w:szCs w:val="20"/>
              </w:rPr>
              <w:t>Licencias</w:t>
            </w:r>
          </w:p>
        </w:tc>
        <w:tc>
          <w:tcPr>
            <w:tcW w:w="4000" w:type="dxa"/>
            <w:shd w:val="clear" w:color="000000" w:fill="FFFFFF"/>
            <w:noWrap/>
            <w:hideMark/>
          </w:tcPr>
          <w:p w:rsidR="00914DC1" w:rsidRDefault="00914DC1">
            <w:pPr>
              <w:jc w:val="right"/>
              <w:rPr>
                <w:rFonts w:ascii="Barlow" w:hAnsi="Barlow" w:cs="Tahoma"/>
                <w:color w:val="000000"/>
                <w:sz w:val="20"/>
                <w:szCs w:val="20"/>
              </w:rPr>
            </w:pPr>
            <w:r>
              <w:rPr>
                <w:rFonts w:ascii="Barlow" w:hAnsi="Barlow" w:cs="Tahoma"/>
                <w:color w:val="000000"/>
                <w:sz w:val="20"/>
                <w:szCs w:val="20"/>
              </w:rPr>
              <w:t xml:space="preserve">                                                                  208,021.78 </w:t>
            </w:r>
          </w:p>
        </w:tc>
      </w:tr>
      <w:tr w:rsidR="00914DC1" w:rsidTr="00D0587F">
        <w:trPr>
          <w:trHeight w:val="330"/>
        </w:trPr>
        <w:tc>
          <w:tcPr>
            <w:tcW w:w="5300" w:type="dxa"/>
            <w:shd w:val="clear" w:color="000000" w:fill="FFFFFF"/>
            <w:hideMark/>
          </w:tcPr>
          <w:p w:rsidR="00914DC1" w:rsidRDefault="00914DC1">
            <w:pPr>
              <w:jc w:val="both"/>
              <w:rPr>
                <w:rFonts w:ascii="Barlow" w:hAnsi="Barlow" w:cs="Tahoma"/>
                <w:color w:val="000000"/>
                <w:sz w:val="20"/>
                <w:szCs w:val="20"/>
              </w:rPr>
            </w:pPr>
            <w:r>
              <w:rPr>
                <w:rFonts w:ascii="Barlow" w:hAnsi="Barlow" w:cs="Tahoma"/>
                <w:color w:val="000000"/>
                <w:sz w:val="20"/>
                <w:szCs w:val="20"/>
              </w:rPr>
              <w:t>Software</w:t>
            </w:r>
          </w:p>
        </w:tc>
        <w:tc>
          <w:tcPr>
            <w:tcW w:w="4000" w:type="dxa"/>
            <w:shd w:val="clear" w:color="000000" w:fill="FFFFFF"/>
            <w:noWrap/>
            <w:hideMark/>
          </w:tcPr>
          <w:p w:rsidR="00914DC1" w:rsidRDefault="00914DC1">
            <w:pPr>
              <w:jc w:val="right"/>
              <w:rPr>
                <w:rFonts w:ascii="Barlow" w:hAnsi="Barlow" w:cs="Tahoma"/>
                <w:color w:val="000000"/>
                <w:sz w:val="20"/>
                <w:szCs w:val="20"/>
              </w:rPr>
            </w:pPr>
            <w:r>
              <w:rPr>
                <w:rFonts w:ascii="Barlow" w:hAnsi="Barlow" w:cs="Tahoma"/>
                <w:color w:val="000000"/>
                <w:sz w:val="20"/>
                <w:szCs w:val="20"/>
              </w:rPr>
              <w:t xml:space="preserve">                                                                       2,827.77 </w:t>
            </w:r>
          </w:p>
        </w:tc>
      </w:tr>
    </w:tbl>
    <w:p w:rsidR="00212309" w:rsidRDefault="00212309" w:rsidP="00914DC1">
      <w:pPr>
        <w:autoSpaceDE w:val="0"/>
        <w:autoSpaceDN w:val="0"/>
        <w:adjustRightInd w:val="0"/>
        <w:spacing w:line="360" w:lineRule="auto"/>
        <w:jc w:val="both"/>
        <w:rPr>
          <w:rFonts w:ascii="Barlow" w:hAnsi="Barlow" w:cs="Arial"/>
          <w:b/>
          <w:sz w:val="20"/>
          <w:szCs w:val="20"/>
        </w:rPr>
      </w:pPr>
    </w:p>
    <w:p w:rsidR="00914DC1" w:rsidRPr="00410493" w:rsidRDefault="00914DC1" w:rsidP="00914DC1">
      <w:p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t>Estimaciones y Deterioros</w:t>
      </w:r>
    </w:p>
    <w:p w:rsidR="00914DC1" w:rsidRPr="00410493" w:rsidRDefault="00914DC1" w:rsidP="00914DC1">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lastRenderedPageBreak/>
        <w:t xml:space="preserve">10.- </w:t>
      </w:r>
      <w:r w:rsidR="00D0587F">
        <w:rPr>
          <w:rFonts w:ascii="Barlow" w:hAnsi="Barlow" w:cs="Arial"/>
          <w:sz w:val="20"/>
          <w:szCs w:val="20"/>
        </w:rPr>
        <w:t>El Sistema DIF</w:t>
      </w:r>
      <w:r w:rsidRPr="00410493">
        <w:rPr>
          <w:rFonts w:ascii="Barlow" w:hAnsi="Barlow" w:cs="Arial"/>
          <w:sz w:val="20"/>
          <w:szCs w:val="20"/>
        </w:rPr>
        <w:t xml:space="preserve"> no realizó durante el </w:t>
      </w:r>
      <w:r w:rsidR="00D0587F">
        <w:rPr>
          <w:rFonts w:ascii="Barlow" w:hAnsi="Barlow" w:cs="Arial"/>
          <w:sz w:val="20"/>
          <w:szCs w:val="20"/>
        </w:rPr>
        <w:t xml:space="preserve">mes de abril de </w:t>
      </w:r>
      <w:r w:rsidRPr="00410493">
        <w:rPr>
          <w:rFonts w:ascii="Barlow" w:hAnsi="Barlow" w:cs="Arial"/>
          <w:sz w:val="20"/>
          <w:szCs w:val="20"/>
        </w:rPr>
        <w:t xml:space="preserve"> 201</w:t>
      </w:r>
      <w:r w:rsidR="00D0587F">
        <w:rPr>
          <w:rFonts w:ascii="Barlow" w:hAnsi="Barlow" w:cs="Arial"/>
          <w:sz w:val="20"/>
          <w:szCs w:val="20"/>
        </w:rPr>
        <w:t>9</w:t>
      </w:r>
      <w:r w:rsidRPr="00410493">
        <w:rPr>
          <w:rFonts w:ascii="Barlow" w:hAnsi="Barlow" w:cs="Arial"/>
          <w:sz w:val="20"/>
          <w:szCs w:val="20"/>
        </w:rPr>
        <w:t xml:space="preserve"> la determinación de estimaciones de cuentas incobrables, inversiones deterioro de activos biológicos, etc.</w:t>
      </w:r>
    </w:p>
    <w:p w:rsidR="00151C7F" w:rsidRPr="008F58A8" w:rsidRDefault="00151C7F" w:rsidP="00FE5FBD">
      <w:pPr>
        <w:jc w:val="both"/>
        <w:rPr>
          <w:rFonts w:asciiTheme="minorHAnsi" w:hAnsiTheme="minorHAnsi"/>
          <w:sz w:val="20"/>
          <w:szCs w:val="20"/>
        </w:rPr>
      </w:pPr>
    </w:p>
    <w:p w:rsidR="00AB12F1" w:rsidRPr="00D0587F" w:rsidRDefault="00FE5FBD" w:rsidP="00D0587F">
      <w:pPr>
        <w:autoSpaceDE w:val="0"/>
        <w:autoSpaceDN w:val="0"/>
        <w:adjustRightInd w:val="0"/>
        <w:spacing w:line="360" w:lineRule="auto"/>
        <w:jc w:val="both"/>
        <w:rPr>
          <w:rFonts w:ascii="Barlow" w:hAnsi="Barlow" w:cs="Arial"/>
          <w:b/>
          <w:sz w:val="20"/>
          <w:szCs w:val="20"/>
        </w:rPr>
      </w:pPr>
      <w:r w:rsidRPr="00D0587F">
        <w:rPr>
          <w:rFonts w:ascii="Barlow" w:hAnsi="Barlow" w:cs="Arial"/>
          <w:b/>
          <w:sz w:val="20"/>
          <w:szCs w:val="20"/>
        </w:rPr>
        <w:t>P</w:t>
      </w:r>
      <w:r w:rsidR="007F7F13" w:rsidRPr="00D0587F">
        <w:rPr>
          <w:rFonts w:ascii="Barlow" w:hAnsi="Barlow" w:cs="Arial"/>
          <w:b/>
          <w:sz w:val="20"/>
          <w:szCs w:val="20"/>
        </w:rPr>
        <w:t>ASIVOS</w:t>
      </w:r>
    </w:p>
    <w:p w:rsidR="008F58A8" w:rsidRDefault="008F58A8" w:rsidP="00FE5FBD">
      <w:pPr>
        <w:jc w:val="both"/>
        <w:rPr>
          <w:rFonts w:asciiTheme="minorHAnsi" w:hAnsiTheme="minorHAnsi"/>
          <w:b/>
          <w:sz w:val="20"/>
          <w:szCs w:val="20"/>
        </w:rPr>
      </w:pPr>
    </w:p>
    <w:p w:rsidR="00D0587F" w:rsidRPr="00410493" w:rsidRDefault="00D0587F" w:rsidP="00D0587F">
      <w:pPr>
        <w:tabs>
          <w:tab w:val="left" w:pos="540"/>
        </w:tabs>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1.- La Cuenta de Proveedores, Retenciones y Deuda Pública se integran como sigue:</w:t>
      </w:r>
    </w:p>
    <w:tbl>
      <w:tblPr>
        <w:tblW w:w="12363" w:type="dxa"/>
        <w:tblInd w:w="55" w:type="dxa"/>
        <w:tblCellMar>
          <w:left w:w="70" w:type="dxa"/>
          <w:right w:w="70" w:type="dxa"/>
        </w:tblCellMar>
        <w:tblLook w:val="04A0"/>
      </w:tblPr>
      <w:tblGrid>
        <w:gridCol w:w="10363"/>
        <w:gridCol w:w="2000"/>
      </w:tblGrid>
      <w:tr w:rsidR="00F82233" w:rsidTr="00F82233">
        <w:trPr>
          <w:trHeight w:val="270"/>
        </w:trPr>
        <w:tc>
          <w:tcPr>
            <w:tcW w:w="10363" w:type="dxa"/>
            <w:tcBorders>
              <w:top w:val="nil"/>
              <w:left w:val="nil"/>
              <w:bottom w:val="nil"/>
              <w:right w:val="nil"/>
            </w:tcBorders>
            <w:shd w:val="clear" w:color="000000" w:fill="FFFFFF"/>
            <w:noWrap/>
            <w:vAlign w:val="bottom"/>
            <w:hideMark/>
          </w:tcPr>
          <w:p w:rsidR="00F82233" w:rsidRDefault="00F82233">
            <w:pPr>
              <w:jc w:val="center"/>
              <w:rPr>
                <w:rFonts w:ascii="Barlow" w:hAnsi="Barlow" w:cs="Tahoma"/>
                <w:b/>
                <w:bCs/>
                <w:color w:val="000000"/>
                <w:sz w:val="20"/>
                <w:szCs w:val="20"/>
              </w:rPr>
            </w:pPr>
            <w:r>
              <w:rPr>
                <w:rFonts w:ascii="Barlow" w:hAnsi="Barlow" w:cs="Calibri"/>
                <w:b/>
                <w:bCs/>
                <w:color w:val="000000"/>
                <w:sz w:val="20"/>
                <w:szCs w:val="20"/>
              </w:rPr>
              <w:t>CONCEPTO</w:t>
            </w:r>
          </w:p>
        </w:tc>
        <w:tc>
          <w:tcPr>
            <w:tcW w:w="2000" w:type="dxa"/>
            <w:tcBorders>
              <w:top w:val="nil"/>
              <w:left w:val="nil"/>
              <w:bottom w:val="nil"/>
              <w:right w:val="nil"/>
            </w:tcBorders>
            <w:shd w:val="clear" w:color="000000" w:fill="FFFFFF"/>
            <w:noWrap/>
            <w:vAlign w:val="bottom"/>
            <w:hideMark/>
          </w:tcPr>
          <w:p w:rsidR="00F82233" w:rsidRDefault="00F82233" w:rsidP="00F82233">
            <w:pPr>
              <w:jc w:val="center"/>
              <w:rPr>
                <w:rFonts w:ascii="Barlow" w:hAnsi="Barlow" w:cs="Tahoma"/>
                <w:b/>
                <w:bCs/>
                <w:color w:val="000000"/>
                <w:sz w:val="20"/>
                <w:szCs w:val="20"/>
              </w:rPr>
            </w:pPr>
            <w:r>
              <w:rPr>
                <w:rFonts w:ascii="Barlow" w:hAnsi="Barlow" w:cs="Calibri"/>
                <w:b/>
                <w:bCs/>
                <w:color w:val="000000"/>
                <w:sz w:val="20"/>
                <w:szCs w:val="20"/>
              </w:rPr>
              <w:t>SALDO</w:t>
            </w:r>
          </w:p>
        </w:tc>
      </w:tr>
      <w:tr w:rsidR="00F82233" w:rsidTr="00F82233">
        <w:trPr>
          <w:trHeight w:val="270"/>
        </w:trPr>
        <w:tc>
          <w:tcPr>
            <w:tcW w:w="10363" w:type="dxa"/>
            <w:tcBorders>
              <w:top w:val="nil"/>
              <w:left w:val="nil"/>
              <w:bottom w:val="nil"/>
              <w:right w:val="nil"/>
            </w:tcBorders>
            <w:shd w:val="clear" w:color="000000" w:fill="FFFFFF"/>
            <w:noWrap/>
            <w:vAlign w:val="bottom"/>
            <w:hideMark/>
          </w:tcPr>
          <w:p w:rsidR="00F82233" w:rsidRDefault="00F82233">
            <w:pPr>
              <w:rPr>
                <w:rFonts w:ascii="Barlow" w:hAnsi="Barlow" w:cs="Tahoma"/>
                <w:b/>
                <w:bCs/>
                <w:color w:val="000000"/>
                <w:sz w:val="20"/>
                <w:szCs w:val="20"/>
              </w:rPr>
            </w:pPr>
            <w:r>
              <w:rPr>
                <w:rFonts w:ascii="Barlow" w:hAnsi="Barlow" w:cs="Calibri"/>
                <w:b/>
                <w:bCs/>
                <w:color w:val="000000"/>
                <w:sz w:val="20"/>
                <w:szCs w:val="20"/>
              </w:rPr>
              <w:t>PASIVO CIRCULANTE</w:t>
            </w:r>
          </w:p>
        </w:tc>
        <w:tc>
          <w:tcPr>
            <w:tcW w:w="2000" w:type="dxa"/>
            <w:tcBorders>
              <w:top w:val="nil"/>
              <w:left w:val="nil"/>
              <w:bottom w:val="single" w:sz="4" w:space="0" w:color="auto"/>
              <w:right w:val="nil"/>
            </w:tcBorders>
            <w:shd w:val="clear" w:color="000000" w:fill="FFFFFF"/>
            <w:noWrap/>
            <w:hideMark/>
          </w:tcPr>
          <w:p w:rsidR="00F82233" w:rsidRDefault="00F82233">
            <w:pPr>
              <w:jc w:val="right"/>
              <w:rPr>
                <w:rFonts w:ascii="Barlow" w:hAnsi="Barlow" w:cs="Tahoma"/>
                <w:b/>
                <w:bCs/>
                <w:color w:val="000000"/>
                <w:sz w:val="20"/>
                <w:szCs w:val="20"/>
              </w:rPr>
            </w:pPr>
            <w:r>
              <w:rPr>
                <w:rFonts w:ascii="Barlow" w:hAnsi="Barlow" w:cs="Tahoma"/>
                <w:b/>
                <w:bCs/>
                <w:color w:val="000000"/>
                <w:sz w:val="20"/>
                <w:szCs w:val="20"/>
              </w:rPr>
              <w:t xml:space="preserve">                80,493,158.98 </w:t>
            </w:r>
          </w:p>
        </w:tc>
      </w:tr>
      <w:tr w:rsidR="00F82233" w:rsidTr="00F82233">
        <w:trPr>
          <w:trHeight w:val="270"/>
        </w:trPr>
        <w:tc>
          <w:tcPr>
            <w:tcW w:w="10363" w:type="dxa"/>
            <w:tcBorders>
              <w:top w:val="nil"/>
              <w:left w:val="nil"/>
              <w:bottom w:val="nil"/>
              <w:right w:val="nil"/>
            </w:tcBorders>
            <w:shd w:val="clear" w:color="000000" w:fill="FFFFFF"/>
            <w:noWrap/>
            <w:vAlign w:val="bottom"/>
            <w:hideMark/>
          </w:tcPr>
          <w:p w:rsidR="00F82233" w:rsidRDefault="00F82233">
            <w:pPr>
              <w:rPr>
                <w:rFonts w:ascii="Barlow" w:hAnsi="Barlow" w:cs="Tahoma"/>
                <w:b/>
                <w:bCs/>
                <w:color w:val="000000"/>
                <w:sz w:val="20"/>
                <w:szCs w:val="20"/>
              </w:rPr>
            </w:pPr>
            <w:r>
              <w:rPr>
                <w:rFonts w:ascii="Barlow" w:hAnsi="Barlow" w:cs="Calibri"/>
                <w:b/>
                <w:bCs/>
                <w:color w:val="000000"/>
                <w:sz w:val="20"/>
                <w:szCs w:val="20"/>
              </w:rPr>
              <w:t>Cuentas por Pagar a Corto Plazo</w:t>
            </w:r>
          </w:p>
        </w:tc>
        <w:tc>
          <w:tcPr>
            <w:tcW w:w="2000" w:type="dxa"/>
            <w:tcBorders>
              <w:top w:val="nil"/>
              <w:left w:val="nil"/>
              <w:bottom w:val="nil"/>
              <w:right w:val="nil"/>
            </w:tcBorders>
            <w:shd w:val="clear" w:color="000000" w:fill="FFFFFF"/>
            <w:noWrap/>
            <w:hideMark/>
          </w:tcPr>
          <w:p w:rsidR="00F82233" w:rsidRDefault="00F82233">
            <w:pPr>
              <w:jc w:val="right"/>
              <w:rPr>
                <w:rFonts w:ascii="Barlow" w:hAnsi="Barlow" w:cs="Tahoma"/>
                <w:b/>
                <w:bCs/>
                <w:color w:val="000000"/>
                <w:sz w:val="20"/>
                <w:szCs w:val="20"/>
              </w:rPr>
            </w:pPr>
            <w:r>
              <w:rPr>
                <w:rFonts w:ascii="Barlow" w:hAnsi="Barlow" w:cs="Tahoma"/>
                <w:b/>
                <w:bCs/>
                <w:color w:val="000000"/>
                <w:sz w:val="20"/>
                <w:szCs w:val="20"/>
              </w:rPr>
              <w:t xml:space="preserve">                 24,820,779.11 </w:t>
            </w:r>
          </w:p>
        </w:tc>
      </w:tr>
      <w:tr w:rsidR="00F82233" w:rsidTr="00F82233">
        <w:trPr>
          <w:trHeight w:val="270"/>
        </w:trPr>
        <w:tc>
          <w:tcPr>
            <w:tcW w:w="10363" w:type="dxa"/>
            <w:tcBorders>
              <w:top w:val="nil"/>
              <w:left w:val="nil"/>
              <w:bottom w:val="nil"/>
              <w:right w:val="nil"/>
            </w:tcBorders>
            <w:shd w:val="clear" w:color="000000" w:fill="FFFFFF"/>
            <w:noWrap/>
            <w:vAlign w:val="bottom"/>
            <w:hideMark/>
          </w:tcPr>
          <w:p w:rsidR="00F82233" w:rsidRDefault="00F82233">
            <w:pPr>
              <w:rPr>
                <w:rFonts w:ascii="Barlow" w:hAnsi="Barlow" w:cs="Tahoma"/>
                <w:color w:val="000000"/>
                <w:sz w:val="20"/>
                <w:szCs w:val="20"/>
              </w:rPr>
            </w:pPr>
            <w:r>
              <w:rPr>
                <w:rFonts w:ascii="Barlow" w:hAnsi="Barlow" w:cs="Calibri"/>
                <w:color w:val="000000"/>
                <w:sz w:val="20"/>
                <w:szCs w:val="20"/>
              </w:rPr>
              <w:t>Servicios Personales por Pagar a Corto Plazo</w:t>
            </w:r>
          </w:p>
        </w:tc>
        <w:tc>
          <w:tcPr>
            <w:tcW w:w="2000" w:type="dxa"/>
            <w:tcBorders>
              <w:top w:val="nil"/>
              <w:left w:val="nil"/>
              <w:bottom w:val="nil"/>
              <w:right w:val="nil"/>
            </w:tcBorders>
            <w:shd w:val="clear" w:color="000000" w:fill="FFFFFF"/>
            <w:noWrap/>
            <w:hideMark/>
          </w:tcPr>
          <w:p w:rsidR="00F82233" w:rsidRDefault="00F82233">
            <w:pPr>
              <w:jc w:val="right"/>
              <w:rPr>
                <w:rFonts w:ascii="Barlow" w:hAnsi="Barlow" w:cs="Tahoma"/>
                <w:color w:val="000000"/>
                <w:sz w:val="20"/>
                <w:szCs w:val="20"/>
              </w:rPr>
            </w:pPr>
            <w:r>
              <w:rPr>
                <w:rFonts w:ascii="Barlow" w:hAnsi="Barlow" w:cs="Tahoma"/>
                <w:color w:val="000000"/>
                <w:sz w:val="20"/>
                <w:szCs w:val="20"/>
              </w:rPr>
              <w:t xml:space="preserve">                  2,892,146.09 </w:t>
            </w:r>
          </w:p>
        </w:tc>
      </w:tr>
      <w:tr w:rsidR="00F82233" w:rsidTr="00F82233">
        <w:trPr>
          <w:trHeight w:val="270"/>
        </w:trPr>
        <w:tc>
          <w:tcPr>
            <w:tcW w:w="10363" w:type="dxa"/>
            <w:tcBorders>
              <w:top w:val="nil"/>
              <w:left w:val="nil"/>
              <w:bottom w:val="nil"/>
              <w:right w:val="nil"/>
            </w:tcBorders>
            <w:shd w:val="clear" w:color="000000" w:fill="FFFFFF"/>
            <w:noWrap/>
            <w:vAlign w:val="bottom"/>
            <w:hideMark/>
          </w:tcPr>
          <w:p w:rsidR="00F82233" w:rsidRDefault="00F82233">
            <w:pPr>
              <w:rPr>
                <w:rFonts w:ascii="Barlow" w:hAnsi="Barlow" w:cs="Tahoma"/>
                <w:color w:val="000000"/>
                <w:sz w:val="20"/>
                <w:szCs w:val="20"/>
              </w:rPr>
            </w:pPr>
            <w:r>
              <w:rPr>
                <w:rFonts w:ascii="Barlow" w:hAnsi="Barlow" w:cs="Calibri"/>
                <w:color w:val="000000"/>
                <w:sz w:val="20"/>
                <w:szCs w:val="20"/>
              </w:rPr>
              <w:t>Proveedores por Pagar a Corto Plazo</w:t>
            </w:r>
          </w:p>
        </w:tc>
        <w:tc>
          <w:tcPr>
            <w:tcW w:w="2000" w:type="dxa"/>
            <w:tcBorders>
              <w:top w:val="nil"/>
              <w:left w:val="nil"/>
              <w:bottom w:val="nil"/>
              <w:right w:val="nil"/>
            </w:tcBorders>
            <w:shd w:val="clear" w:color="000000" w:fill="FFFFFF"/>
            <w:noWrap/>
            <w:hideMark/>
          </w:tcPr>
          <w:p w:rsidR="00F82233" w:rsidRDefault="00F82233">
            <w:pPr>
              <w:jc w:val="right"/>
              <w:rPr>
                <w:rFonts w:ascii="Barlow" w:hAnsi="Barlow" w:cs="Tahoma"/>
                <w:color w:val="000000"/>
                <w:sz w:val="20"/>
                <w:szCs w:val="20"/>
              </w:rPr>
            </w:pPr>
            <w:r>
              <w:rPr>
                <w:rFonts w:ascii="Barlow" w:hAnsi="Barlow" w:cs="Tahoma"/>
                <w:color w:val="000000"/>
                <w:sz w:val="20"/>
                <w:szCs w:val="20"/>
              </w:rPr>
              <w:t xml:space="preserve">                  19,129,418.40 </w:t>
            </w:r>
          </w:p>
        </w:tc>
      </w:tr>
      <w:tr w:rsidR="00F82233" w:rsidTr="00F82233">
        <w:trPr>
          <w:trHeight w:val="270"/>
        </w:trPr>
        <w:tc>
          <w:tcPr>
            <w:tcW w:w="10363" w:type="dxa"/>
            <w:tcBorders>
              <w:top w:val="nil"/>
              <w:left w:val="nil"/>
              <w:bottom w:val="nil"/>
              <w:right w:val="nil"/>
            </w:tcBorders>
            <w:shd w:val="clear" w:color="000000" w:fill="FFFFFF"/>
            <w:noWrap/>
            <w:vAlign w:val="bottom"/>
            <w:hideMark/>
          </w:tcPr>
          <w:p w:rsidR="00F82233" w:rsidRDefault="00F82233">
            <w:pPr>
              <w:rPr>
                <w:rFonts w:ascii="Barlow" w:hAnsi="Barlow" w:cs="Tahoma"/>
                <w:color w:val="000000"/>
                <w:sz w:val="20"/>
                <w:szCs w:val="20"/>
              </w:rPr>
            </w:pPr>
            <w:r>
              <w:rPr>
                <w:rFonts w:ascii="Barlow" w:hAnsi="Barlow" w:cs="Tahoma"/>
                <w:color w:val="000000"/>
                <w:sz w:val="20"/>
                <w:szCs w:val="20"/>
              </w:rPr>
              <w:t>Transferencias Otorgadas por Pagar a Corto Plazo</w:t>
            </w:r>
          </w:p>
        </w:tc>
        <w:tc>
          <w:tcPr>
            <w:tcW w:w="2000" w:type="dxa"/>
            <w:tcBorders>
              <w:top w:val="nil"/>
              <w:left w:val="nil"/>
              <w:bottom w:val="nil"/>
              <w:right w:val="nil"/>
            </w:tcBorders>
            <w:shd w:val="clear" w:color="000000" w:fill="FFFFFF"/>
            <w:noWrap/>
            <w:hideMark/>
          </w:tcPr>
          <w:p w:rsidR="00F82233" w:rsidRDefault="00F82233">
            <w:pPr>
              <w:jc w:val="right"/>
              <w:rPr>
                <w:rFonts w:ascii="Barlow" w:hAnsi="Barlow" w:cs="Tahoma"/>
                <w:color w:val="000000"/>
                <w:sz w:val="20"/>
                <w:szCs w:val="20"/>
              </w:rPr>
            </w:pPr>
            <w:r>
              <w:rPr>
                <w:rFonts w:ascii="Barlow" w:hAnsi="Barlow" w:cs="Tahoma"/>
                <w:color w:val="000000"/>
                <w:sz w:val="20"/>
                <w:szCs w:val="20"/>
              </w:rPr>
              <w:t xml:space="preserve">                       44,536.84 </w:t>
            </w:r>
          </w:p>
        </w:tc>
      </w:tr>
      <w:tr w:rsidR="00F82233" w:rsidTr="00F82233">
        <w:trPr>
          <w:trHeight w:val="270"/>
        </w:trPr>
        <w:tc>
          <w:tcPr>
            <w:tcW w:w="10363" w:type="dxa"/>
            <w:tcBorders>
              <w:top w:val="nil"/>
              <w:left w:val="nil"/>
              <w:bottom w:val="nil"/>
              <w:right w:val="nil"/>
            </w:tcBorders>
            <w:shd w:val="clear" w:color="000000" w:fill="FFFFFF"/>
            <w:noWrap/>
            <w:vAlign w:val="bottom"/>
            <w:hideMark/>
          </w:tcPr>
          <w:p w:rsidR="00F82233" w:rsidRDefault="00F82233">
            <w:pPr>
              <w:rPr>
                <w:rFonts w:ascii="Barlow" w:hAnsi="Barlow" w:cs="Tahoma"/>
                <w:color w:val="000000"/>
                <w:sz w:val="20"/>
                <w:szCs w:val="20"/>
              </w:rPr>
            </w:pPr>
            <w:r>
              <w:rPr>
                <w:rFonts w:ascii="Barlow" w:hAnsi="Barlow" w:cs="Tahoma"/>
                <w:color w:val="000000"/>
                <w:sz w:val="20"/>
                <w:szCs w:val="20"/>
              </w:rPr>
              <w:t>Retenciones y Contribuciones por Pagar a Corto Plazo</w:t>
            </w:r>
          </w:p>
        </w:tc>
        <w:tc>
          <w:tcPr>
            <w:tcW w:w="2000" w:type="dxa"/>
            <w:tcBorders>
              <w:top w:val="nil"/>
              <w:left w:val="nil"/>
              <w:bottom w:val="nil"/>
              <w:right w:val="nil"/>
            </w:tcBorders>
            <w:shd w:val="clear" w:color="000000" w:fill="FFFFFF"/>
            <w:noWrap/>
            <w:hideMark/>
          </w:tcPr>
          <w:p w:rsidR="00F82233" w:rsidRDefault="00F82233">
            <w:pPr>
              <w:jc w:val="right"/>
              <w:rPr>
                <w:rFonts w:ascii="Barlow" w:hAnsi="Barlow" w:cs="Tahoma"/>
                <w:color w:val="000000"/>
                <w:sz w:val="20"/>
                <w:szCs w:val="20"/>
              </w:rPr>
            </w:pPr>
            <w:r>
              <w:rPr>
                <w:rFonts w:ascii="Barlow" w:hAnsi="Barlow" w:cs="Tahoma"/>
                <w:color w:val="000000"/>
                <w:sz w:val="20"/>
                <w:szCs w:val="20"/>
              </w:rPr>
              <w:t xml:space="preserve">                  2,754,677.78 </w:t>
            </w:r>
          </w:p>
        </w:tc>
      </w:tr>
      <w:tr w:rsidR="00F82233" w:rsidTr="00F82233">
        <w:trPr>
          <w:trHeight w:val="270"/>
        </w:trPr>
        <w:tc>
          <w:tcPr>
            <w:tcW w:w="10363" w:type="dxa"/>
            <w:tcBorders>
              <w:top w:val="nil"/>
              <w:left w:val="nil"/>
              <w:bottom w:val="nil"/>
              <w:right w:val="nil"/>
            </w:tcBorders>
            <w:shd w:val="clear" w:color="000000" w:fill="FFFFFF"/>
            <w:noWrap/>
            <w:vAlign w:val="bottom"/>
            <w:hideMark/>
          </w:tcPr>
          <w:p w:rsidR="00F82233" w:rsidRDefault="00F82233">
            <w:pPr>
              <w:rPr>
                <w:rFonts w:ascii="Barlow" w:hAnsi="Barlow" w:cs="Tahoma"/>
                <w:b/>
                <w:bCs/>
                <w:color w:val="000000"/>
                <w:sz w:val="20"/>
                <w:szCs w:val="20"/>
              </w:rPr>
            </w:pPr>
            <w:r>
              <w:rPr>
                <w:rFonts w:ascii="Barlow" w:hAnsi="Barlow" w:cs="Calibri"/>
                <w:b/>
                <w:bCs/>
                <w:color w:val="000000"/>
                <w:sz w:val="20"/>
                <w:szCs w:val="20"/>
              </w:rPr>
              <w:t>Otros Pasivos Circulantes</w:t>
            </w:r>
          </w:p>
        </w:tc>
        <w:tc>
          <w:tcPr>
            <w:tcW w:w="2000" w:type="dxa"/>
            <w:tcBorders>
              <w:top w:val="nil"/>
              <w:left w:val="nil"/>
              <w:bottom w:val="nil"/>
              <w:right w:val="nil"/>
            </w:tcBorders>
            <w:shd w:val="clear" w:color="000000" w:fill="FFFFFF"/>
            <w:noWrap/>
            <w:hideMark/>
          </w:tcPr>
          <w:p w:rsidR="00F82233" w:rsidRDefault="00F82233">
            <w:pPr>
              <w:jc w:val="right"/>
              <w:rPr>
                <w:rFonts w:ascii="Barlow" w:hAnsi="Barlow" w:cs="Tahoma"/>
                <w:b/>
                <w:bCs/>
                <w:color w:val="000000"/>
                <w:sz w:val="20"/>
                <w:szCs w:val="20"/>
              </w:rPr>
            </w:pPr>
            <w:r>
              <w:rPr>
                <w:rFonts w:ascii="Barlow" w:hAnsi="Barlow" w:cs="Tahoma"/>
                <w:b/>
                <w:bCs/>
                <w:color w:val="000000"/>
                <w:sz w:val="20"/>
                <w:szCs w:val="20"/>
              </w:rPr>
              <w:t xml:space="preserve">                55,672,379.87 </w:t>
            </w:r>
          </w:p>
        </w:tc>
      </w:tr>
      <w:tr w:rsidR="00F82233" w:rsidTr="00F82233">
        <w:trPr>
          <w:trHeight w:val="270"/>
        </w:trPr>
        <w:tc>
          <w:tcPr>
            <w:tcW w:w="10363" w:type="dxa"/>
            <w:tcBorders>
              <w:top w:val="nil"/>
              <w:left w:val="nil"/>
              <w:bottom w:val="nil"/>
              <w:right w:val="nil"/>
            </w:tcBorders>
            <w:shd w:val="clear" w:color="000000" w:fill="FFFFFF"/>
            <w:noWrap/>
            <w:vAlign w:val="bottom"/>
            <w:hideMark/>
          </w:tcPr>
          <w:p w:rsidR="00F82233" w:rsidRDefault="00F82233">
            <w:pPr>
              <w:rPr>
                <w:rFonts w:ascii="Barlow" w:hAnsi="Barlow" w:cs="Tahoma"/>
                <w:color w:val="000000"/>
                <w:sz w:val="20"/>
                <w:szCs w:val="20"/>
              </w:rPr>
            </w:pPr>
            <w:r>
              <w:rPr>
                <w:rFonts w:ascii="Barlow" w:hAnsi="Barlow" w:cs="Calibri"/>
                <w:color w:val="000000"/>
                <w:sz w:val="20"/>
                <w:szCs w:val="20"/>
              </w:rPr>
              <w:t>'8% De I.S.S.T.E.Y.</w:t>
            </w:r>
          </w:p>
        </w:tc>
        <w:tc>
          <w:tcPr>
            <w:tcW w:w="2000" w:type="dxa"/>
            <w:tcBorders>
              <w:top w:val="nil"/>
              <w:left w:val="nil"/>
              <w:bottom w:val="nil"/>
              <w:right w:val="nil"/>
            </w:tcBorders>
            <w:shd w:val="clear" w:color="000000" w:fill="FFFFFF"/>
            <w:noWrap/>
            <w:hideMark/>
          </w:tcPr>
          <w:p w:rsidR="00F82233" w:rsidRDefault="00F82233">
            <w:pPr>
              <w:jc w:val="right"/>
              <w:rPr>
                <w:rFonts w:ascii="Barlow" w:hAnsi="Barlow" w:cs="Tahoma"/>
                <w:color w:val="000000"/>
                <w:sz w:val="20"/>
                <w:szCs w:val="20"/>
              </w:rPr>
            </w:pPr>
            <w:r>
              <w:rPr>
                <w:rFonts w:ascii="Barlow" w:hAnsi="Barlow" w:cs="Tahoma"/>
                <w:color w:val="000000"/>
                <w:sz w:val="20"/>
                <w:szCs w:val="20"/>
              </w:rPr>
              <w:t xml:space="preserve">                   14,211,765.41 </w:t>
            </w:r>
          </w:p>
        </w:tc>
      </w:tr>
      <w:tr w:rsidR="00F82233" w:rsidTr="00F82233">
        <w:trPr>
          <w:trHeight w:val="270"/>
        </w:trPr>
        <w:tc>
          <w:tcPr>
            <w:tcW w:w="10363" w:type="dxa"/>
            <w:tcBorders>
              <w:top w:val="nil"/>
              <w:left w:val="nil"/>
              <w:bottom w:val="nil"/>
              <w:right w:val="nil"/>
            </w:tcBorders>
            <w:shd w:val="clear" w:color="000000" w:fill="FFFFFF"/>
            <w:noWrap/>
            <w:vAlign w:val="bottom"/>
            <w:hideMark/>
          </w:tcPr>
          <w:p w:rsidR="00F82233" w:rsidRDefault="00F82233">
            <w:pPr>
              <w:rPr>
                <w:rFonts w:ascii="Barlow" w:hAnsi="Barlow" w:cs="Tahoma"/>
                <w:color w:val="000000"/>
                <w:sz w:val="20"/>
                <w:szCs w:val="20"/>
              </w:rPr>
            </w:pPr>
            <w:r>
              <w:rPr>
                <w:rFonts w:ascii="Barlow" w:hAnsi="Barlow" w:cs="Calibri"/>
                <w:color w:val="000000"/>
                <w:sz w:val="20"/>
                <w:szCs w:val="20"/>
              </w:rPr>
              <w:t>Prestamos I.S.S.T.E.Y.</w:t>
            </w:r>
          </w:p>
        </w:tc>
        <w:tc>
          <w:tcPr>
            <w:tcW w:w="2000" w:type="dxa"/>
            <w:tcBorders>
              <w:top w:val="nil"/>
              <w:left w:val="nil"/>
              <w:bottom w:val="nil"/>
              <w:right w:val="nil"/>
            </w:tcBorders>
            <w:shd w:val="clear" w:color="000000" w:fill="FFFFFF"/>
            <w:noWrap/>
            <w:hideMark/>
          </w:tcPr>
          <w:p w:rsidR="00F82233" w:rsidRDefault="00F82233">
            <w:pPr>
              <w:jc w:val="right"/>
              <w:rPr>
                <w:rFonts w:ascii="Barlow" w:hAnsi="Barlow" w:cs="Tahoma"/>
                <w:color w:val="000000"/>
                <w:sz w:val="20"/>
                <w:szCs w:val="20"/>
              </w:rPr>
            </w:pPr>
            <w:r>
              <w:rPr>
                <w:rFonts w:ascii="Barlow" w:hAnsi="Barlow" w:cs="Tahoma"/>
                <w:color w:val="000000"/>
                <w:sz w:val="20"/>
                <w:szCs w:val="20"/>
              </w:rPr>
              <w:t xml:space="preserve">                15,345,584.05 </w:t>
            </w:r>
          </w:p>
        </w:tc>
      </w:tr>
      <w:tr w:rsidR="00F82233" w:rsidTr="00F82233">
        <w:trPr>
          <w:trHeight w:val="270"/>
        </w:trPr>
        <w:tc>
          <w:tcPr>
            <w:tcW w:w="10363" w:type="dxa"/>
            <w:tcBorders>
              <w:top w:val="nil"/>
              <w:left w:val="nil"/>
              <w:bottom w:val="nil"/>
              <w:right w:val="nil"/>
            </w:tcBorders>
            <w:shd w:val="clear" w:color="000000" w:fill="FFFFFF"/>
            <w:noWrap/>
            <w:vAlign w:val="bottom"/>
            <w:hideMark/>
          </w:tcPr>
          <w:p w:rsidR="00F82233" w:rsidRDefault="00F82233">
            <w:pPr>
              <w:rPr>
                <w:rFonts w:ascii="Barlow" w:hAnsi="Barlow" w:cs="Tahoma"/>
                <w:color w:val="000000"/>
                <w:sz w:val="20"/>
                <w:szCs w:val="20"/>
              </w:rPr>
            </w:pPr>
            <w:r>
              <w:rPr>
                <w:rFonts w:ascii="Barlow" w:hAnsi="Barlow" w:cs="Calibri"/>
                <w:color w:val="000000"/>
                <w:sz w:val="20"/>
                <w:szCs w:val="20"/>
              </w:rPr>
              <w:t>12.75 % De I.S.S.T.E.Y.</w:t>
            </w:r>
          </w:p>
        </w:tc>
        <w:tc>
          <w:tcPr>
            <w:tcW w:w="2000" w:type="dxa"/>
            <w:tcBorders>
              <w:top w:val="nil"/>
              <w:left w:val="nil"/>
              <w:bottom w:val="nil"/>
              <w:right w:val="nil"/>
            </w:tcBorders>
            <w:shd w:val="clear" w:color="000000" w:fill="FFFFFF"/>
            <w:noWrap/>
            <w:hideMark/>
          </w:tcPr>
          <w:p w:rsidR="00F82233" w:rsidRDefault="00F82233">
            <w:pPr>
              <w:jc w:val="right"/>
              <w:rPr>
                <w:rFonts w:ascii="Barlow" w:hAnsi="Barlow" w:cs="Tahoma"/>
                <w:color w:val="000000"/>
                <w:sz w:val="20"/>
                <w:szCs w:val="20"/>
              </w:rPr>
            </w:pPr>
            <w:r>
              <w:rPr>
                <w:rFonts w:ascii="Barlow" w:hAnsi="Barlow" w:cs="Tahoma"/>
                <w:color w:val="000000"/>
                <w:sz w:val="20"/>
                <w:szCs w:val="20"/>
              </w:rPr>
              <w:t xml:space="preserve">               24,359,932.49 </w:t>
            </w:r>
          </w:p>
        </w:tc>
      </w:tr>
      <w:tr w:rsidR="00F82233" w:rsidTr="00F82233">
        <w:trPr>
          <w:trHeight w:val="270"/>
        </w:trPr>
        <w:tc>
          <w:tcPr>
            <w:tcW w:w="10363" w:type="dxa"/>
            <w:tcBorders>
              <w:top w:val="nil"/>
              <w:left w:val="nil"/>
              <w:bottom w:val="nil"/>
              <w:right w:val="nil"/>
            </w:tcBorders>
            <w:shd w:val="clear" w:color="000000" w:fill="FFFFFF"/>
            <w:noWrap/>
            <w:vAlign w:val="bottom"/>
            <w:hideMark/>
          </w:tcPr>
          <w:p w:rsidR="00F82233" w:rsidRDefault="00F82233">
            <w:pPr>
              <w:rPr>
                <w:rFonts w:ascii="Barlow" w:hAnsi="Barlow" w:cs="Tahoma"/>
                <w:color w:val="000000"/>
                <w:sz w:val="20"/>
                <w:szCs w:val="20"/>
              </w:rPr>
            </w:pPr>
            <w:r>
              <w:rPr>
                <w:rFonts w:ascii="Barlow" w:hAnsi="Barlow" w:cs="Tahoma"/>
                <w:color w:val="000000"/>
                <w:sz w:val="20"/>
                <w:szCs w:val="20"/>
              </w:rPr>
              <w:t>Acreedores varios</w:t>
            </w:r>
          </w:p>
        </w:tc>
        <w:tc>
          <w:tcPr>
            <w:tcW w:w="2000" w:type="dxa"/>
            <w:tcBorders>
              <w:top w:val="nil"/>
              <w:left w:val="nil"/>
              <w:bottom w:val="nil"/>
              <w:right w:val="nil"/>
            </w:tcBorders>
            <w:shd w:val="clear" w:color="000000" w:fill="FFFFFF"/>
            <w:noWrap/>
            <w:hideMark/>
          </w:tcPr>
          <w:p w:rsidR="00F82233" w:rsidRDefault="00F82233">
            <w:pPr>
              <w:jc w:val="right"/>
              <w:rPr>
                <w:rFonts w:ascii="Barlow" w:hAnsi="Barlow" w:cs="Tahoma"/>
                <w:color w:val="000000"/>
                <w:sz w:val="20"/>
                <w:szCs w:val="20"/>
              </w:rPr>
            </w:pPr>
            <w:r>
              <w:rPr>
                <w:rFonts w:ascii="Barlow" w:hAnsi="Barlow" w:cs="Tahoma"/>
                <w:color w:val="000000"/>
                <w:sz w:val="20"/>
                <w:szCs w:val="20"/>
              </w:rPr>
              <w:t xml:space="preserve">                   1,755,097.92 </w:t>
            </w:r>
          </w:p>
        </w:tc>
      </w:tr>
    </w:tbl>
    <w:p w:rsidR="008F58A8" w:rsidRPr="00D0587F" w:rsidRDefault="008F58A8" w:rsidP="00D0587F">
      <w:pPr>
        <w:spacing w:line="360" w:lineRule="auto"/>
        <w:ind w:right="-36"/>
        <w:jc w:val="both"/>
        <w:rPr>
          <w:rFonts w:ascii="Barlow" w:hAnsi="Barlow" w:cs="Arial"/>
          <w:sz w:val="20"/>
          <w:szCs w:val="20"/>
        </w:rPr>
      </w:pPr>
    </w:p>
    <w:p w:rsidR="00D0587F" w:rsidRDefault="00D0587F" w:rsidP="00D0587F">
      <w:pPr>
        <w:spacing w:line="360" w:lineRule="auto"/>
        <w:jc w:val="both"/>
        <w:rPr>
          <w:rFonts w:ascii="Barlow" w:hAnsi="Barlow" w:cs="Arial"/>
          <w:sz w:val="20"/>
          <w:szCs w:val="20"/>
        </w:rPr>
      </w:pPr>
      <w:r w:rsidRPr="00D0587F">
        <w:rPr>
          <w:rFonts w:ascii="Barlow" w:hAnsi="Barlow" w:cs="Arial"/>
          <w:sz w:val="20"/>
          <w:szCs w:val="20"/>
        </w:rPr>
        <w:t xml:space="preserve">Entre los adeudos del Sistema DIF, se encuentra el ISSTEY, registrado en la cuenta 2.1.9 Otros Pasivos Circulantes, con un monto aproximado a los cincuenta y cuatro millones de pesos, correspondientes a años anteriores al 2015, mismos,  que entendemos ya fue subsanado por Gobierno del Estado, pero a la presente fecha no se tiene ningún documento que nos lo haga de conocimiento, por tal motivo, sigue registrado en los estados financieros. </w:t>
      </w:r>
    </w:p>
    <w:p w:rsidR="00F82233" w:rsidRDefault="00F82233" w:rsidP="00D0587F">
      <w:pPr>
        <w:spacing w:line="360" w:lineRule="auto"/>
        <w:jc w:val="both"/>
        <w:rPr>
          <w:rFonts w:ascii="Barlow" w:hAnsi="Barlow" w:cs="Arial"/>
          <w:sz w:val="20"/>
          <w:szCs w:val="20"/>
        </w:rPr>
      </w:pPr>
    </w:p>
    <w:p w:rsidR="00E87531" w:rsidRDefault="00E87531" w:rsidP="00E87531">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 xml:space="preserve">2.- </w:t>
      </w:r>
      <w:r>
        <w:rPr>
          <w:rFonts w:ascii="Barlow" w:hAnsi="Barlow" w:cs="Arial"/>
          <w:sz w:val="20"/>
          <w:szCs w:val="20"/>
        </w:rPr>
        <w:t>El Sistema DIF no cuenta</w:t>
      </w:r>
      <w:r w:rsidR="00FB5884">
        <w:rPr>
          <w:rFonts w:ascii="Barlow" w:hAnsi="Barlow" w:cs="Arial"/>
          <w:sz w:val="20"/>
          <w:szCs w:val="20"/>
        </w:rPr>
        <w:t xml:space="preserve"> con </w:t>
      </w:r>
      <w:r w:rsidRPr="00410493">
        <w:rPr>
          <w:rFonts w:ascii="Barlow" w:hAnsi="Barlow" w:cs="Arial"/>
          <w:sz w:val="20"/>
          <w:szCs w:val="20"/>
        </w:rPr>
        <w:t xml:space="preserve"> Fondos y Bienes de Terceros en Garantía y/o administración a corto plazo</w:t>
      </w:r>
      <w:bookmarkStart w:id="3" w:name="m8"/>
      <w:bookmarkEnd w:id="3"/>
    </w:p>
    <w:p w:rsidR="00E87531" w:rsidRPr="00410493" w:rsidRDefault="00E87531" w:rsidP="00E87531">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 xml:space="preserve">3.- El </w:t>
      </w:r>
      <w:r>
        <w:rPr>
          <w:rFonts w:ascii="Barlow" w:hAnsi="Barlow" w:cs="Arial"/>
          <w:sz w:val="20"/>
          <w:szCs w:val="20"/>
        </w:rPr>
        <w:t>Sistema DIF</w:t>
      </w:r>
      <w:r w:rsidRPr="00410493">
        <w:rPr>
          <w:rFonts w:ascii="Barlow" w:hAnsi="Barlow" w:cs="Arial"/>
          <w:sz w:val="20"/>
          <w:szCs w:val="20"/>
        </w:rPr>
        <w:t xml:space="preserve"> no tiene registro de pasivos diferidos de corto o largo plazo.</w:t>
      </w:r>
    </w:p>
    <w:p w:rsidR="00FB5884" w:rsidRPr="00FB5884" w:rsidRDefault="00FB5884" w:rsidP="00FB5884">
      <w:pPr>
        <w:autoSpaceDE w:val="0"/>
        <w:autoSpaceDN w:val="0"/>
        <w:adjustRightInd w:val="0"/>
        <w:spacing w:line="360" w:lineRule="auto"/>
        <w:jc w:val="both"/>
        <w:rPr>
          <w:rFonts w:ascii="Barlow" w:hAnsi="Barlow" w:cs="Arial"/>
          <w:b/>
          <w:sz w:val="20"/>
          <w:szCs w:val="20"/>
        </w:rPr>
      </w:pPr>
      <w:r>
        <w:rPr>
          <w:rFonts w:ascii="Barlow" w:hAnsi="Barlow" w:cs="Arial"/>
          <w:b/>
          <w:sz w:val="20"/>
          <w:szCs w:val="20"/>
        </w:rPr>
        <w:lastRenderedPageBreak/>
        <w:t xml:space="preserve">ii) </w:t>
      </w:r>
      <w:r w:rsidRPr="00FB5884">
        <w:rPr>
          <w:rFonts w:ascii="Barlow" w:hAnsi="Barlow" w:cs="Arial"/>
          <w:b/>
          <w:sz w:val="20"/>
          <w:szCs w:val="20"/>
        </w:rPr>
        <w:t>NOTAS AL ESTADO DE ACTIVIDADES</w:t>
      </w:r>
    </w:p>
    <w:p w:rsidR="00FB5884" w:rsidRPr="00E213B7" w:rsidRDefault="00FB5884" w:rsidP="00FB5884">
      <w:pPr>
        <w:jc w:val="both"/>
        <w:rPr>
          <w:rFonts w:ascii="Calibri" w:hAnsi="Calibri" w:cs="Arial"/>
          <w:b/>
          <w:bCs/>
          <w:color w:val="000000"/>
          <w:sz w:val="20"/>
          <w:szCs w:val="20"/>
          <w:lang w:val="es-MX" w:eastAsia="es-MX"/>
        </w:rPr>
      </w:pPr>
    </w:p>
    <w:p w:rsidR="00FB5884" w:rsidRPr="00410493" w:rsidRDefault="00FB5884" w:rsidP="00FB5884">
      <w:p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t>Ingresos de Gestión</w:t>
      </w:r>
    </w:p>
    <w:p w:rsidR="00FB5884" w:rsidRPr="00410493" w:rsidRDefault="00FB5884" w:rsidP="00FB5884">
      <w:pPr>
        <w:autoSpaceDE w:val="0"/>
        <w:autoSpaceDN w:val="0"/>
        <w:adjustRightInd w:val="0"/>
        <w:spacing w:line="360" w:lineRule="auto"/>
        <w:jc w:val="both"/>
        <w:rPr>
          <w:rFonts w:ascii="Barlow" w:hAnsi="Barlow" w:cs="Arial"/>
          <w:b/>
          <w:sz w:val="20"/>
          <w:szCs w:val="20"/>
        </w:rPr>
      </w:pPr>
    </w:p>
    <w:p w:rsidR="00FB5884" w:rsidRPr="00410493" w:rsidRDefault="00FB5884" w:rsidP="00FB5884">
      <w:p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 xml:space="preserve">Representa el monto de los ingresos recaudados durante el ejercicio fiscal y que se previeron en la Ley de Ingresos del Estado de Yucatán, así como de los recursos que el </w:t>
      </w:r>
      <w:r>
        <w:rPr>
          <w:rFonts w:ascii="Barlow" w:hAnsi="Barlow" w:cs="Arial"/>
          <w:sz w:val="20"/>
          <w:szCs w:val="20"/>
        </w:rPr>
        <w:t xml:space="preserve">Sistema DIF recibió del </w:t>
      </w:r>
      <w:r w:rsidRPr="00410493">
        <w:rPr>
          <w:rFonts w:ascii="Barlow" w:hAnsi="Barlow" w:cs="Arial"/>
          <w:sz w:val="20"/>
          <w:szCs w:val="20"/>
        </w:rPr>
        <w:t>Poder Ejecutivo</w:t>
      </w:r>
      <w:r w:rsidR="00EF6781">
        <w:rPr>
          <w:rFonts w:ascii="Barlow" w:hAnsi="Barlow" w:cs="Arial"/>
          <w:sz w:val="20"/>
          <w:szCs w:val="20"/>
        </w:rPr>
        <w:t>,</w:t>
      </w:r>
      <w:r w:rsidRPr="00410493">
        <w:rPr>
          <w:rFonts w:ascii="Barlow" w:hAnsi="Barlow" w:cs="Arial"/>
          <w:sz w:val="20"/>
          <w:szCs w:val="20"/>
        </w:rPr>
        <w:t xml:space="preserve"> como se muestra a continuación:</w:t>
      </w:r>
    </w:p>
    <w:p w:rsidR="00FB5884" w:rsidRPr="00410493" w:rsidRDefault="00FB5884" w:rsidP="00FB5884">
      <w:pPr>
        <w:autoSpaceDE w:val="0"/>
        <w:autoSpaceDN w:val="0"/>
        <w:adjustRightInd w:val="0"/>
        <w:spacing w:line="360" w:lineRule="auto"/>
        <w:jc w:val="both"/>
        <w:rPr>
          <w:rFonts w:ascii="Barlow" w:hAnsi="Barlow" w:cs="Arial"/>
          <w:b/>
          <w:sz w:val="20"/>
          <w:szCs w:val="20"/>
        </w:rPr>
      </w:pPr>
    </w:p>
    <w:p w:rsidR="00FB5884" w:rsidRDefault="00FB5884" w:rsidP="00FB5884">
      <w:pPr>
        <w:autoSpaceDE w:val="0"/>
        <w:autoSpaceDN w:val="0"/>
        <w:adjustRightInd w:val="0"/>
        <w:spacing w:line="360" w:lineRule="auto"/>
        <w:jc w:val="both"/>
        <w:rPr>
          <w:rFonts w:ascii="Barlow" w:hAnsi="Barlow" w:cs="Arial"/>
          <w:bCs/>
          <w:sz w:val="20"/>
          <w:szCs w:val="20"/>
        </w:rPr>
      </w:pPr>
      <w:r w:rsidRPr="00410493">
        <w:rPr>
          <w:rFonts w:ascii="Barlow" w:hAnsi="Barlow" w:cs="Arial"/>
          <w:bCs/>
          <w:sz w:val="20"/>
          <w:szCs w:val="20"/>
        </w:rPr>
        <w:t>1.- Las cuentas que integran los ingresos de la gestión, presentan los siguientes saldos:</w:t>
      </w:r>
    </w:p>
    <w:tbl>
      <w:tblPr>
        <w:tblW w:w="12443" w:type="dxa"/>
        <w:tblInd w:w="55" w:type="dxa"/>
        <w:tblCellMar>
          <w:left w:w="70" w:type="dxa"/>
          <w:right w:w="70" w:type="dxa"/>
        </w:tblCellMar>
        <w:tblLook w:val="04A0"/>
      </w:tblPr>
      <w:tblGrid>
        <w:gridCol w:w="10363"/>
        <w:gridCol w:w="2080"/>
      </w:tblGrid>
      <w:tr w:rsidR="00C46FFB" w:rsidTr="00C46FFB">
        <w:trPr>
          <w:trHeight w:val="300"/>
        </w:trPr>
        <w:tc>
          <w:tcPr>
            <w:tcW w:w="10363" w:type="dxa"/>
            <w:tcBorders>
              <w:top w:val="nil"/>
              <w:left w:val="nil"/>
              <w:bottom w:val="nil"/>
              <w:right w:val="nil"/>
            </w:tcBorders>
            <w:shd w:val="clear" w:color="000000" w:fill="FFFFFF"/>
            <w:noWrap/>
            <w:hideMark/>
          </w:tcPr>
          <w:p w:rsidR="00C46FFB" w:rsidRDefault="00C46FFB">
            <w:pPr>
              <w:rPr>
                <w:rFonts w:ascii="Barlow" w:hAnsi="Barlow" w:cs="Tahoma"/>
                <w:b/>
                <w:bCs/>
                <w:color w:val="000000"/>
                <w:sz w:val="20"/>
                <w:szCs w:val="20"/>
              </w:rPr>
            </w:pPr>
            <w:bookmarkStart w:id="4" w:name="m12"/>
            <w:bookmarkEnd w:id="4"/>
            <w:r>
              <w:rPr>
                <w:rFonts w:ascii="Barlow" w:hAnsi="Barlow" w:cs="Tahoma"/>
                <w:b/>
                <w:bCs/>
                <w:color w:val="000000"/>
                <w:sz w:val="20"/>
                <w:szCs w:val="20"/>
              </w:rPr>
              <w:t>INGRESOS DE GESTION</w:t>
            </w:r>
          </w:p>
        </w:tc>
        <w:tc>
          <w:tcPr>
            <w:tcW w:w="2080" w:type="dxa"/>
            <w:tcBorders>
              <w:top w:val="nil"/>
              <w:left w:val="nil"/>
              <w:bottom w:val="nil"/>
              <w:right w:val="nil"/>
            </w:tcBorders>
            <w:shd w:val="clear" w:color="000000" w:fill="FFFFFF"/>
            <w:noWrap/>
            <w:vAlign w:val="bottom"/>
            <w:hideMark/>
          </w:tcPr>
          <w:p w:rsidR="00C46FFB" w:rsidRDefault="00C46FFB">
            <w:pPr>
              <w:rPr>
                <w:rFonts w:ascii="Calibri" w:hAnsi="Calibri" w:cs="Tahoma"/>
                <w:color w:val="000000"/>
              </w:rPr>
            </w:pPr>
            <w:r>
              <w:rPr>
                <w:rFonts w:ascii="Calibri" w:hAnsi="Calibri" w:cs="Tahoma"/>
                <w:color w:val="000000"/>
                <w:sz w:val="22"/>
                <w:szCs w:val="22"/>
              </w:rPr>
              <w:t> </w:t>
            </w:r>
          </w:p>
        </w:tc>
      </w:tr>
      <w:tr w:rsidR="00C46FFB" w:rsidTr="00C46FFB">
        <w:trPr>
          <w:trHeight w:val="270"/>
        </w:trPr>
        <w:tc>
          <w:tcPr>
            <w:tcW w:w="10363" w:type="dxa"/>
            <w:tcBorders>
              <w:top w:val="nil"/>
              <w:left w:val="nil"/>
              <w:bottom w:val="nil"/>
              <w:right w:val="nil"/>
            </w:tcBorders>
            <w:shd w:val="clear" w:color="000000" w:fill="FFFFFF"/>
            <w:noWrap/>
            <w:hideMark/>
          </w:tcPr>
          <w:p w:rsidR="00C46FFB" w:rsidRDefault="00C46FFB">
            <w:pPr>
              <w:rPr>
                <w:rFonts w:ascii="Barlow" w:hAnsi="Barlow" w:cs="Tahoma"/>
                <w:color w:val="000000"/>
                <w:sz w:val="20"/>
                <w:szCs w:val="20"/>
              </w:rPr>
            </w:pPr>
            <w:r>
              <w:rPr>
                <w:rFonts w:ascii="Barlow" w:hAnsi="Barlow" w:cs="Tahoma"/>
                <w:color w:val="000000"/>
                <w:sz w:val="20"/>
                <w:szCs w:val="20"/>
              </w:rPr>
              <w:t>Productos</w:t>
            </w:r>
          </w:p>
        </w:tc>
        <w:tc>
          <w:tcPr>
            <w:tcW w:w="2080" w:type="dxa"/>
            <w:tcBorders>
              <w:top w:val="nil"/>
              <w:left w:val="nil"/>
              <w:bottom w:val="nil"/>
              <w:right w:val="nil"/>
            </w:tcBorders>
            <w:shd w:val="clear" w:color="000000" w:fill="FFFFFF"/>
            <w:noWrap/>
            <w:hideMark/>
          </w:tcPr>
          <w:p w:rsidR="00C46FFB" w:rsidRDefault="00C46FFB">
            <w:pPr>
              <w:rPr>
                <w:rFonts w:ascii="Barlow" w:hAnsi="Barlow" w:cs="Tahoma"/>
                <w:color w:val="000000"/>
                <w:sz w:val="20"/>
                <w:szCs w:val="20"/>
              </w:rPr>
            </w:pPr>
            <w:r>
              <w:rPr>
                <w:rFonts w:ascii="Barlow" w:hAnsi="Barlow" w:cs="Tahoma"/>
                <w:color w:val="000000"/>
                <w:sz w:val="20"/>
                <w:szCs w:val="20"/>
              </w:rPr>
              <w:t xml:space="preserve">                        103,842.97 </w:t>
            </w:r>
          </w:p>
        </w:tc>
      </w:tr>
      <w:tr w:rsidR="00C46FFB" w:rsidTr="00C46FFB">
        <w:trPr>
          <w:trHeight w:val="270"/>
        </w:trPr>
        <w:tc>
          <w:tcPr>
            <w:tcW w:w="10363" w:type="dxa"/>
            <w:tcBorders>
              <w:top w:val="nil"/>
              <w:left w:val="nil"/>
              <w:bottom w:val="nil"/>
              <w:right w:val="nil"/>
            </w:tcBorders>
            <w:shd w:val="clear" w:color="000000" w:fill="FFFFFF"/>
            <w:noWrap/>
            <w:hideMark/>
          </w:tcPr>
          <w:p w:rsidR="00C46FFB" w:rsidRDefault="00C46FFB">
            <w:pPr>
              <w:rPr>
                <w:rFonts w:ascii="Barlow" w:hAnsi="Barlow" w:cs="Tahoma"/>
                <w:color w:val="000000"/>
                <w:sz w:val="20"/>
                <w:szCs w:val="20"/>
              </w:rPr>
            </w:pPr>
            <w:r>
              <w:rPr>
                <w:rFonts w:ascii="Barlow" w:hAnsi="Barlow" w:cs="Tahoma"/>
                <w:color w:val="000000"/>
                <w:sz w:val="20"/>
                <w:szCs w:val="20"/>
              </w:rPr>
              <w:t>Ingresos por Venta de Bienes y Servicios</w:t>
            </w:r>
          </w:p>
        </w:tc>
        <w:tc>
          <w:tcPr>
            <w:tcW w:w="2080" w:type="dxa"/>
            <w:tcBorders>
              <w:top w:val="nil"/>
              <w:left w:val="nil"/>
              <w:bottom w:val="nil"/>
              <w:right w:val="nil"/>
            </w:tcBorders>
            <w:shd w:val="clear" w:color="000000" w:fill="FFFFFF"/>
            <w:noWrap/>
            <w:hideMark/>
          </w:tcPr>
          <w:p w:rsidR="00C46FFB" w:rsidRDefault="00C46FFB">
            <w:pPr>
              <w:rPr>
                <w:rFonts w:ascii="Barlow" w:hAnsi="Barlow" w:cs="Tahoma"/>
                <w:color w:val="000000"/>
                <w:sz w:val="20"/>
                <w:szCs w:val="20"/>
              </w:rPr>
            </w:pPr>
            <w:r>
              <w:rPr>
                <w:rFonts w:ascii="Barlow" w:hAnsi="Barlow" w:cs="Tahoma"/>
                <w:color w:val="000000"/>
                <w:sz w:val="20"/>
                <w:szCs w:val="20"/>
              </w:rPr>
              <w:t xml:space="preserve">                    1,902,283.35 </w:t>
            </w:r>
          </w:p>
        </w:tc>
      </w:tr>
    </w:tbl>
    <w:p w:rsidR="00C46FFB" w:rsidRDefault="00C46FFB" w:rsidP="00FB5884">
      <w:pPr>
        <w:autoSpaceDE w:val="0"/>
        <w:autoSpaceDN w:val="0"/>
        <w:adjustRightInd w:val="0"/>
        <w:spacing w:line="360" w:lineRule="auto"/>
        <w:jc w:val="both"/>
        <w:rPr>
          <w:rFonts w:ascii="Barlow" w:hAnsi="Barlow" w:cs="Arial"/>
          <w:bCs/>
          <w:sz w:val="20"/>
          <w:szCs w:val="20"/>
        </w:rPr>
      </w:pPr>
      <w:r>
        <w:rPr>
          <w:rFonts w:ascii="Barlow" w:hAnsi="Barlow" w:cs="Arial"/>
          <w:bCs/>
          <w:sz w:val="20"/>
          <w:szCs w:val="20"/>
        </w:rPr>
        <w:t>Durante este mes de junio se reclasificaron los Intereses bancarios correspondiente a los meses de enero a mayo del presente año a la cuenta de Productos.</w:t>
      </w:r>
    </w:p>
    <w:p w:rsidR="00C46FFB" w:rsidRPr="00410493" w:rsidRDefault="00C46FFB" w:rsidP="00FB5884">
      <w:pPr>
        <w:autoSpaceDE w:val="0"/>
        <w:autoSpaceDN w:val="0"/>
        <w:adjustRightInd w:val="0"/>
        <w:spacing w:line="360" w:lineRule="auto"/>
        <w:jc w:val="both"/>
        <w:rPr>
          <w:rFonts w:ascii="Barlow" w:hAnsi="Barlow" w:cs="Arial"/>
          <w:bCs/>
          <w:sz w:val="20"/>
          <w:szCs w:val="20"/>
        </w:rPr>
      </w:pPr>
    </w:p>
    <w:p w:rsidR="00FB5884" w:rsidRDefault="00FB5884" w:rsidP="00FB5884">
      <w:pPr>
        <w:autoSpaceDE w:val="0"/>
        <w:autoSpaceDN w:val="0"/>
        <w:adjustRightInd w:val="0"/>
        <w:spacing w:line="360" w:lineRule="auto"/>
        <w:jc w:val="both"/>
        <w:rPr>
          <w:rFonts w:ascii="Barlow" w:hAnsi="Barlow" w:cs="Arial"/>
          <w:bCs/>
          <w:sz w:val="20"/>
          <w:szCs w:val="20"/>
        </w:rPr>
      </w:pPr>
      <w:r w:rsidRPr="00410493">
        <w:rPr>
          <w:rFonts w:ascii="Barlow" w:hAnsi="Barlow" w:cs="Arial"/>
          <w:bCs/>
          <w:sz w:val="20"/>
          <w:szCs w:val="20"/>
        </w:rPr>
        <w:t>2.- Las cuentas que integran los ingresos por participaciones, aportaciones, transferencias, asignaciones, subsidios y otras ayudas presentan los siguientes saldos:</w:t>
      </w:r>
    </w:p>
    <w:p w:rsidR="00A13E38" w:rsidRDefault="00A13E38" w:rsidP="00FB5884">
      <w:pPr>
        <w:autoSpaceDE w:val="0"/>
        <w:autoSpaceDN w:val="0"/>
        <w:adjustRightInd w:val="0"/>
        <w:spacing w:line="360" w:lineRule="auto"/>
        <w:jc w:val="both"/>
        <w:rPr>
          <w:rFonts w:ascii="Barlow" w:hAnsi="Barlow" w:cs="Arial"/>
          <w:bCs/>
          <w:sz w:val="20"/>
          <w:szCs w:val="20"/>
        </w:rPr>
      </w:pPr>
    </w:p>
    <w:tbl>
      <w:tblPr>
        <w:tblW w:w="11830" w:type="dxa"/>
        <w:tblInd w:w="681" w:type="dxa"/>
        <w:tblCellMar>
          <w:left w:w="70" w:type="dxa"/>
          <w:right w:w="70" w:type="dxa"/>
        </w:tblCellMar>
        <w:tblLook w:val="04A0"/>
      </w:tblPr>
      <w:tblGrid>
        <w:gridCol w:w="9737"/>
        <w:gridCol w:w="2093"/>
      </w:tblGrid>
      <w:tr w:rsidR="00A13E38" w:rsidRPr="00EF6781" w:rsidTr="00C46FFB">
        <w:trPr>
          <w:trHeight w:val="315"/>
        </w:trPr>
        <w:tc>
          <w:tcPr>
            <w:tcW w:w="9737" w:type="dxa"/>
            <w:shd w:val="clear" w:color="000000" w:fill="FFFFFF"/>
            <w:noWrap/>
            <w:hideMark/>
          </w:tcPr>
          <w:p w:rsidR="00A13E38" w:rsidRPr="00EF6781" w:rsidRDefault="00A13E38" w:rsidP="008C0F5C">
            <w:pPr>
              <w:spacing w:line="360" w:lineRule="auto"/>
              <w:rPr>
                <w:rFonts w:ascii="Barlow" w:hAnsi="Barlow" w:cs="Arial"/>
                <w:b/>
                <w:bCs/>
                <w:color w:val="000000"/>
                <w:sz w:val="20"/>
                <w:szCs w:val="20"/>
                <w:lang w:val="es-MX" w:eastAsia="es-MX"/>
              </w:rPr>
            </w:pPr>
            <w:r w:rsidRPr="00EF6781">
              <w:rPr>
                <w:rFonts w:ascii="Barlow" w:hAnsi="Barlow" w:cs="Arial"/>
                <w:b/>
                <w:bCs/>
                <w:color w:val="000000"/>
                <w:sz w:val="20"/>
                <w:szCs w:val="20"/>
                <w:lang w:val="es-MX" w:eastAsia="es-MX"/>
              </w:rPr>
              <w:t>Transferencias Internas Y Asignaciones Al Sector Público</w:t>
            </w:r>
          </w:p>
        </w:tc>
        <w:tc>
          <w:tcPr>
            <w:tcW w:w="2093" w:type="dxa"/>
            <w:shd w:val="clear" w:color="auto" w:fill="auto"/>
            <w:noWrap/>
            <w:vAlign w:val="bottom"/>
            <w:hideMark/>
          </w:tcPr>
          <w:p w:rsidR="00A13E38" w:rsidRPr="00EF6781" w:rsidRDefault="00A13E38" w:rsidP="008C0F5C">
            <w:pPr>
              <w:spacing w:line="360" w:lineRule="auto"/>
              <w:rPr>
                <w:rFonts w:ascii="Barlow" w:hAnsi="Barlow" w:cs="Arial"/>
                <w:sz w:val="20"/>
                <w:szCs w:val="20"/>
                <w:lang w:val="es-MX" w:eastAsia="es-MX"/>
              </w:rPr>
            </w:pPr>
          </w:p>
        </w:tc>
      </w:tr>
      <w:tr w:rsidR="00A13E38" w:rsidRPr="00EF6781" w:rsidTr="00C46FFB">
        <w:trPr>
          <w:trHeight w:val="270"/>
        </w:trPr>
        <w:tc>
          <w:tcPr>
            <w:tcW w:w="9737" w:type="dxa"/>
            <w:shd w:val="clear" w:color="000000" w:fill="FFFFFF"/>
            <w:noWrap/>
            <w:hideMark/>
          </w:tcPr>
          <w:p w:rsidR="00A13E38" w:rsidRPr="00EF6781" w:rsidRDefault="00A13E38" w:rsidP="008C0F5C">
            <w:pPr>
              <w:spacing w:line="360" w:lineRule="auto"/>
              <w:rPr>
                <w:rFonts w:ascii="Barlow" w:hAnsi="Barlow" w:cs="Arial"/>
                <w:color w:val="000000"/>
                <w:sz w:val="20"/>
                <w:szCs w:val="20"/>
                <w:lang w:val="es-MX" w:eastAsia="es-MX"/>
              </w:rPr>
            </w:pPr>
            <w:r w:rsidRPr="00EF6781">
              <w:rPr>
                <w:rFonts w:ascii="Barlow" w:hAnsi="Barlow" w:cs="Arial"/>
                <w:color w:val="000000"/>
                <w:sz w:val="20"/>
                <w:szCs w:val="20"/>
                <w:lang w:val="es-MX" w:eastAsia="es-MX"/>
              </w:rPr>
              <w:t>Aportaciones Estatales  FF-01</w:t>
            </w:r>
          </w:p>
        </w:tc>
        <w:tc>
          <w:tcPr>
            <w:tcW w:w="2093" w:type="dxa"/>
            <w:shd w:val="clear" w:color="000000" w:fill="FFFFFF"/>
            <w:noWrap/>
            <w:vAlign w:val="bottom"/>
            <w:hideMark/>
          </w:tcPr>
          <w:p w:rsidR="00A13E38" w:rsidRPr="00EF6781" w:rsidRDefault="003F0F92" w:rsidP="00C46FFB">
            <w:pPr>
              <w:spacing w:line="360" w:lineRule="auto"/>
              <w:jc w:val="right"/>
              <w:rPr>
                <w:rFonts w:ascii="Barlow" w:hAnsi="Barlow" w:cs="Arial"/>
                <w:sz w:val="20"/>
                <w:szCs w:val="20"/>
              </w:rPr>
            </w:pPr>
            <w:r>
              <w:rPr>
                <w:rFonts w:ascii="Barlow" w:hAnsi="Barlow" w:cs="Arial"/>
                <w:sz w:val="20"/>
                <w:szCs w:val="20"/>
              </w:rPr>
              <w:t>1</w:t>
            </w:r>
            <w:r w:rsidR="00C46FFB">
              <w:rPr>
                <w:rFonts w:ascii="Barlow" w:hAnsi="Barlow" w:cs="Arial"/>
                <w:sz w:val="20"/>
                <w:szCs w:val="20"/>
              </w:rPr>
              <w:t>5,087,693.</w:t>
            </w:r>
            <w:r>
              <w:rPr>
                <w:rFonts w:ascii="Barlow" w:hAnsi="Barlow" w:cs="Arial"/>
                <w:sz w:val="20"/>
                <w:szCs w:val="20"/>
              </w:rPr>
              <w:t>00</w:t>
            </w:r>
          </w:p>
        </w:tc>
      </w:tr>
      <w:tr w:rsidR="00A13E38" w:rsidRPr="00EF6781" w:rsidTr="00C46FFB">
        <w:trPr>
          <w:trHeight w:val="246"/>
        </w:trPr>
        <w:tc>
          <w:tcPr>
            <w:tcW w:w="9737" w:type="dxa"/>
            <w:shd w:val="clear" w:color="000000" w:fill="FFFFFF"/>
            <w:noWrap/>
            <w:hideMark/>
          </w:tcPr>
          <w:p w:rsidR="00A13E38" w:rsidRPr="00EF6781" w:rsidRDefault="00A13E38" w:rsidP="008C0F5C">
            <w:pPr>
              <w:spacing w:line="360" w:lineRule="auto"/>
              <w:rPr>
                <w:rFonts w:ascii="Barlow" w:hAnsi="Barlow" w:cs="Arial"/>
                <w:color w:val="000000"/>
                <w:sz w:val="20"/>
                <w:szCs w:val="20"/>
                <w:lang w:val="es-MX" w:eastAsia="es-MX"/>
              </w:rPr>
            </w:pPr>
            <w:r w:rsidRPr="00EF6781">
              <w:rPr>
                <w:rFonts w:ascii="Barlow" w:hAnsi="Barlow" w:cs="Arial"/>
                <w:color w:val="000000"/>
                <w:sz w:val="20"/>
                <w:szCs w:val="20"/>
                <w:lang w:val="es-MX" w:eastAsia="es-MX"/>
              </w:rPr>
              <w:t>Aportaciones Estatales  FF-101</w:t>
            </w:r>
          </w:p>
        </w:tc>
        <w:tc>
          <w:tcPr>
            <w:tcW w:w="2093" w:type="dxa"/>
            <w:shd w:val="clear" w:color="000000" w:fill="FFFFFF"/>
            <w:noWrap/>
            <w:hideMark/>
          </w:tcPr>
          <w:p w:rsidR="00A13E38" w:rsidRPr="00EF6781" w:rsidRDefault="00C46FFB" w:rsidP="00C46FFB">
            <w:pPr>
              <w:spacing w:line="360" w:lineRule="auto"/>
              <w:jc w:val="right"/>
              <w:rPr>
                <w:rFonts w:ascii="Barlow" w:hAnsi="Barlow" w:cs="Arial"/>
                <w:color w:val="000000"/>
                <w:sz w:val="20"/>
                <w:szCs w:val="20"/>
                <w:lang w:val="es-MX" w:eastAsia="es-MX"/>
              </w:rPr>
            </w:pPr>
            <w:r>
              <w:rPr>
                <w:rFonts w:ascii="Barlow" w:hAnsi="Barlow" w:cs="Arial"/>
                <w:color w:val="000000"/>
                <w:sz w:val="20"/>
                <w:szCs w:val="20"/>
                <w:lang w:val="es-MX" w:eastAsia="es-MX"/>
              </w:rPr>
              <w:t>19,833,244</w:t>
            </w:r>
            <w:r w:rsidR="003F0F92">
              <w:rPr>
                <w:rFonts w:ascii="Barlow" w:hAnsi="Barlow" w:cs="Arial"/>
                <w:color w:val="000000"/>
                <w:sz w:val="20"/>
                <w:szCs w:val="20"/>
                <w:lang w:val="es-MX" w:eastAsia="es-MX"/>
              </w:rPr>
              <w:t>4.00</w:t>
            </w:r>
          </w:p>
        </w:tc>
      </w:tr>
      <w:tr w:rsidR="00A13E38" w:rsidRPr="00EF6781" w:rsidTr="00C46FFB">
        <w:trPr>
          <w:trHeight w:val="246"/>
        </w:trPr>
        <w:tc>
          <w:tcPr>
            <w:tcW w:w="9737" w:type="dxa"/>
            <w:shd w:val="clear" w:color="000000" w:fill="FFFFFF"/>
            <w:noWrap/>
            <w:hideMark/>
          </w:tcPr>
          <w:p w:rsidR="00A13E38" w:rsidRPr="00EF6781" w:rsidRDefault="00A13E38" w:rsidP="008C0F5C">
            <w:pPr>
              <w:spacing w:line="360" w:lineRule="auto"/>
              <w:rPr>
                <w:rFonts w:ascii="Barlow" w:hAnsi="Barlow" w:cs="Arial"/>
                <w:color w:val="000000"/>
                <w:sz w:val="20"/>
                <w:szCs w:val="20"/>
                <w:lang w:val="es-MX" w:eastAsia="es-MX"/>
              </w:rPr>
            </w:pPr>
            <w:r w:rsidRPr="00EF6781">
              <w:rPr>
                <w:rFonts w:ascii="Barlow" w:hAnsi="Barlow" w:cs="Arial"/>
                <w:color w:val="000000"/>
                <w:sz w:val="20"/>
                <w:szCs w:val="20"/>
                <w:lang w:val="es-MX" w:eastAsia="es-MX"/>
              </w:rPr>
              <w:t>Aportaciones Federales  FAM</w:t>
            </w:r>
          </w:p>
        </w:tc>
        <w:tc>
          <w:tcPr>
            <w:tcW w:w="2093" w:type="dxa"/>
            <w:shd w:val="clear" w:color="000000" w:fill="FFFFFF"/>
            <w:noWrap/>
            <w:hideMark/>
          </w:tcPr>
          <w:p w:rsidR="00A13E38" w:rsidRPr="00EF6781" w:rsidRDefault="00A13E38" w:rsidP="008C0F5C">
            <w:pPr>
              <w:spacing w:line="360" w:lineRule="auto"/>
              <w:jc w:val="right"/>
              <w:rPr>
                <w:rFonts w:ascii="Barlow" w:hAnsi="Barlow" w:cs="Arial"/>
                <w:color w:val="000000"/>
                <w:sz w:val="20"/>
                <w:szCs w:val="20"/>
                <w:lang w:val="es-MX" w:eastAsia="es-MX"/>
              </w:rPr>
            </w:pPr>
            <w:r w:rsidRPr="00EF6781">
              <w:rPr>
                <w:rFonts w:ascii="Barlow" w:hAnsi="Barlow" w:cs="Arial"/>
                <w:color w:val="000000"/>
                <w:sz w:val="20"/>
                <w:szCs w:val="20"/>
                <w:lang w:val="es-MX" w:eastAsia="es-MX"/>
              </w:rPr>
              <w:t>21,967,649.00</w:t>
            </w:r>
          </w:p>
        </w:tc>
      </w:tr>
    </w:tbl>
    <w:p w:rsidR="00A13E38" w:rsidRDefault="00A13E38" w:rsidP="00FB5884">
      <w:pPr>
        <w:autoSpaceDE w:val="0"/>
        <w:autoSpaceDN w:val="0"/>
        <w:adjustRightInd w:val="0"/>
        <w:spacing w:line="360" w:lineRule="auto"/>
        <w:jc w:val="both"/>
        <w:rPr>
          <w:rFonts w:ascii="Barlow" w:hAnsi="Barlow" w:cs="Arial"/>
          <w:bCs/>
          <w:sz w:val="20"/>
          <w:szCs w:val="20"/>
        </w:rPr>
      </w:pPr>
    </w:p>
    <w:p w:rsidR="00A13E38" w:rsidRPr="00410493" w:rsidRDefault="00A13E38" w:rsidP="00FB5884">
      <w:pPr>
        <w:autoSpaceDE w:val="0"/>
        <w:autoSpaceDN w:val="0"/>
        <w:adjustRightInd w:val="0"/>
        <w:spacing w:line="360" w:lineRule="auto"/>
        <w:jc w:val="both"/>
        <w:rPr>
          <w:rFonts w:ascii="Barlow" w:hAnsi="Barlow" w:cs="Arial"/>
          <w:bCs/>
          <w:sz w:val="20"/>
          <w:szCs w:val="20"/>
        </w:rPr>
      </w:pPr>
    </w:p>
    <w:p w:rsidR="00FB5884" w:rsidRPr="00410493" w:rsidRDefault="00FB5884" w:rsidP="00FB5884">
      <w:p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lastRenderedPageBreak/>
        <w:t>Otros Ingresos y Beneficios Varios</w:t>
      </w:r>
    </w:p>
    <w:p w:rsidR="00FB5884" w:rsidRPr="00410493" w:rsidRDefault="00FB5884" w:rsidP="00FB5884">
      <w:pPr>
        <w:autoSpaceDE w:val="0"/>
        <w:autoSpaceDN w:val="0"/>
        <w:adjustRightInd w:val="0"/>
        <w:spacing w:line="360" w:lineRule="auto"/>
        <w:jc w:val="both"/>
        <w:rPr>
          <w:rFonts w:ascii="Barlow" w:hAnsi="Barlow" w:cs="Arial"/>
          <w:sz w:val="20"/>
          <w:szCs w:val="20"/>
        </w:rPr>
      </w:pPr>
    </w:p>
    <w:p w:rsidR="00FB5884" w:rsidRDefault="00FB5884" w:rsidP="00FB5884">
      <w:pPr>
        <w:autoSpaceDE w:val="0"/>
        <w:autoSpaceDN w:val="0"/>
        <w:adjustRightInd w:val="0"/>
        <w:spacing w:line="360" w:lineRule="auto"/>
        <w:jc w:val="both"/>
        <w:rPr>
          <w:rFonts w:ascii="Barlow" w:hAnsi="Barlow" w:cs="Arial"/>
          <w:bCs/>
          <w:sz w:val="20"/>
          <w:szCs w:val="20"/>
        </w:rPr>
      </w:pPr>
      <w:r w:rsidRPr="00410493">
        <w:rPr>
          <w:rFonts w:ascii="Barlow" w:hAnsi="Barlow" w:cs="Arial"/>
          <w:bCs/>
          <w:sz w:val="20"/>
          <w:szCs w:val="20"/>
        </w:rPr>
        <w:t>3.- Las cuentas que integran los otros ingresos y beneficios presentan los siguientes saldos:</w:t>
      </w:r>
    </w:p>
    <w:p w:rsidR="00A13E38" w:rsidRDefault="00A13E38" w:rsidP="00FB5884">
      <w:pPr>
        <w:autoSpaceDE w:val="0"/>
        <w:autoSpaceDN w:val="0"/>
        <w:adjustRightInd w:val="0"/>
        <w:spacing w:line="360" w:lineRule="auto"/>
        <w:jc w:val="both"/>
        <w:rPr>
          <w:rFonts w:ascii="Barlow" w:hAnsi="Barlow" w:cs="Arial"/>
          <w:bCs/>
          <w:sz w:val="20"/>
          <w:szCs w:val="20"/>
        </w:rPr>
      </w:pPr>
    </w:p>
    <w:tbl>
      <w:tblPr>
        <w:tblW w:w="9513" w:type="dxa"/>
        <w:tblInd w:w="681" w:type="dxa"/>
        <w:tblCellMar>
          <w:left w:w="70" w:type="dxa"/>
          <w:right w:w="70" w:type="dxa"/>
        </w:tblCellMar>
        <w:tblLook w:val="04A0"/>
      </w:tblPr>
      <w:tblGrid>
        <w:gridCol w:w="7420"/>
        <w:gridCol w:w="2093"/>
      </w:tblGrid>
      <w:tr w:rsidR="00A13E38" w:rsidRPr="00A63B3A" w:rsidTr="00A13E38">
        <w:trPr>
          <w:trHeight w:val="270"/>
        </w:trPr>
        <w:tc>
          <w:tcPr>
            <w:tcW w:w="7420" w:type="dxa"/>
            <w:shd w:val="clear" w:color="000000" w:fill="FFFFFF"/>
            <w:noWrap/>
            <w:hideMark/>
          </w:tcPr>
          <w:p w:rsidR="00A13E38" w:rsidRPr="00EF6781" w:rsidRDefault="00A13E38" w:rsidP="008C0F5C">
            <w:pPr>
              <w:spacing w:line="360" w:lineRule="auto"/>
              <w:rPr>
                <w:rFonts w:ascii="Barlow" w:hAnsi="Barlow" w:cs="Arial"/>
                <w:b/>
                <w:color w:val="000000"/>
                <w:sz w:val="20"/>
                <w:szCs w:val="20"/>
                <w:lang w:val="es-MX" w:eastAsia="es-MX"/>
              </w:rPr>
            </w:pPr>
            <w:r w:rsidRPr="00EF6781">
              <w:rPr>
                <w:rFonts w:ascii="Barlow" w:hAnsi="Barlow" w:cs="Arial"/>
                <w:b/>
                <w:color w:val="000000"/>
                <w:sz w:val="20"/>
                <w:szCs w:val="20"/>
                <w:lang w:val="es-MX" w:eastAsia="es-MX"/>
              </w:rPr>
              <w:t>OTROS INGRESOS Y BENEFICIOS</w:t>
            </w:r>
          </w:p>
        </w:tc>
        <w:tc>
          <w:tcPr>
            <w:tcW w:w="2093" w:type="dxa"/>
            <w:shd w:val="clear" w:color="000000" w:fill="FFFFFF"/>
            <w:noWrap/>
            <w:hideMark/>
          </w:tcPr>
          <w:p w:rsidR="00A13E38" w:rsidRPr="00EF6781" w:rsidRDefault="00C46FFB" w:rsidP="008C0F5C">
            <w:pPr>
              <w:spacing w:line="360" w:lineRule="auto"/>
              <w:jc w:val="right"/>
              <w:rPr>
                <w:rFonts w:ascii="Barlow" w:hAnsi="Barlow" w:cs="Arial"/>
                <w:color w:val="000000"/>
                <w:sz w:val="20"/>
                <w:szCs w:val="20"/>
                <w:lang w:val="es-MX" w:eastAsia="es-MX"/>
              </w:rPr>
            </w:pPr>
            <w:r>
              <w:rPr>
                <w:rFonts w:ascii="Barlow" w:hAnsi="Barlow" w:cs="Arial"/>
                <w:color w:val="000000"/>
                <w:sz w:val="20"/>
                <w:szCs w:val="20"/>
                <w:lang w:val="es-MX" w:eastAsia="es-MX"/>
              </w:rPr>
              <w:t>-69,271.84</w:t>
            </w:r>
          </w:p>
        </w:tc>
      </w:tr>
    </w:tbl>
    <w:p w:rsidR="004224E7" w:rsidRDefault="004224E7" w:rsidP="00C46FFB">
      <w:pPr>
        <w:autoSpaceDE w:val="0"/>
        <w:autoSpaceDN w:val="0"/>
        <w:adjustRightInd w:val="0"/>
        <w:spacing w:line="360" w:lineRule="auto"/>
        <w:jc w:val="both"/>
        <w:rPr>
          <w:rFonts w:ascii="Barlow" w:hAnsi="Barlow" w:cs="Arial"/>
          <w:bCs/>
          <w:sz w:val="20"/>
          <w:szCs w:val="20"/>
        </w:rPr>
      </w:pPr>
    </w:p>
    <w:p w:rsidR="004224E7" w:rsidRDefault="004224E7" w:rsidP="00C46FFB">
      <w:pPr>
        <w:autoSpaceDE w:val="0"/>
        <w:autoSpaceDN w:val="0"/>
        <w:adjustRightInd w:val="0"/>
        <w:spacing w:line="360" w:lineRule="auto"/>
        <w:jc w:val="both"/>
        <w:rPr>
          <w:rFonts w:ascii="Barlow" w:hAnsi="Barlow" w:cs="Arial"/>
          <w:bCs/>
          <w:sz w:val="20"/>
          <w:szCs w:val="20"/>
        </w:rPr>
      </w:pPr>
    </w:p>
    <w:p w:rsidR="00C46FFB" w:rsidRDefault="00C46FFB" w:rsidP="00C46FFB">
      <w:pPr>
        <w:autoSpaceDE w:val="0"/>
        <w:autoSpaceDN w:val="0"/>
        <w:adjustRightInd w:val="0"/>
        <w:spacing w:line="360" w:lineRule="auto"/>
        <w:jc w:val="both"/>
        <w:rPr>
          <w:rFonts w:ascii="Barlow" w:hAnsi="Barlow" w:cs="Arial"/>
          <w:bCs/>
          <w:sz w:val="20"/>
          <w:szCs w:val="20"/>
        </w:rPr>
      </w:pPr>
      <w:r>
        <w:rPr>
          <w:rFonts w:ascii="Barlow" w:hAnsi="Barlow" w:cs="Arial"/>
          <w:bCs/>
          <w:sz w:val="20"/>
          <w:szCs w:val="20"/>
        </w:rPr>
        <w:t xml:space="preserve">Durante este mes de junio se reclasificaron los Intereses bancarios correspondiente a los meses de enero a mayo del presente año a la cuenta de Productos, por tal motivo Otros Ingresos se refleja en negativo teniendo </w:t>
      </w:r>
      <w:r w:rsidR="001D6B3B">
        <w:rPr>
          <w:rFonts w:ascii="Barlow" w:hAnsi="Barlow" w:cs="Arial"/>
          <w:bCs/>
          <w:sz w:val="20"/>
          <w:szCs w:val="20"/>
        </w:rPr>
        <w:t>$ 15,534.05 como Otros Ingresos.</w:t>
      </w:r>
    </w:p>
    <w:p w:rsidR="00FB5884" w:rsidRPr="00410493" w:rsidRDefault="00FB5884" w:rsidP="00FB5884">
      <w:pPr>
        <w:tabs>
          <w:tab w:val="left" w:pos="1706"/>
        </w:tabs>
        <w:autoSpaceDE w:val="0"/>
        <w:autoSpaceDN w:val="0"/>
        <w:adjustRightInd w:val="0"/>
        <w:spacing w:line="360" w:lineRule="auto"/>
        <w:jc w:val="both"/>
        <w:rPr>
          <w:rFonts w:ascii="Barlow" w:hAnsi="Barlow" w:cs="Arial"/>
          <w:sz w:val="20"/>
          <w:szCs w:val="20"/>
        </w:rPr>
      </w:pPr>
    </w:p>
    <w:p w:rsidR="00FB5884" w:rsidRPr="00410493" w:rsidRDefault="00FB5884" w:rsidP="00FB5884">
      <w:pPr>
        <w:autoSpaceDE w:val="0"/>
        <w:autoSpaceDN w:val="0"/>
        <w:adjustRightInd w:val="0"/>
        <w:spacing w:line="360" w:lineRule="auto"/>
        <w:jc w:val="both"/>
        <w:rPr>
          <w:rFonts w:ascii="Barlow" w:hAnsi="Barlow" w:cs="Arial"/>
          <w:b/>
          <w:sz w:val="20"/>
          <w:szCs w:val="20"/>
        </w:rPr>
      </w:pPr>
      <w:r w:rsidRPr="00410493">
        <w:rPr>
          <w:rFonts w:ascii="Barlow" w:hAnsi="Barlow" w:cs="Arial"/>
          <w:b/>
          <w:sz w:val="20"/>
          <w:szCs w:val="20"/>
        </w:rPr>
        <w:t>Gastos y Otras Pérdidas</w:t>
      </w:r>
    </w:p>
    <w:p w:rsidR="00FB5884" w:rsidRPr="00410493" w:rsidRDefault="00FB5884" w:rsidP="00FB5884">
      <w:pPr>
        <w:autoSpaceDE w:val="0"/>
        <w:autoSpaceDN w:val="0"/>
        <w:adjustRightInd w:val="0"/>
        <w:spacing w:line="360" w:lineRule="auto"/>
        <w:jc w:val="both"/>
        <w:rPr>
          <w:rFonts w:ascii="Barlow" w:hAnsi="Barlow" w:cs="Arial"/>
          <w:sz w:val="20"/>
          <w:szCs w:val="20"/>
        </w:rPr>
      </w:pPr>
    </w:p>
    <w:p w:rsidR="00FB5884" w:rsidRPr="00410493" w:rsidRDefault="00FB5884" w:rsidP="00FB5884">
      <w:pPr>
        <w:autoSpaceDE w:val="0"/>
        <w:autoSpaceDN w:val="0"/>
        <w:adjustRightInd w:val="0"/>
        <w:spacing w:line="360" w:lineRule="auto"/>
        <w:jc w:val="both"/>
        <w:rPr>
          <w:rFonts w:ascii="Barlow" w:hAnsi="Barlow" w:cs="Arial"/>
          <w:bCs/>
          <w:sz w:val="20"/>
          <w:szCs w:val="20"/>
        </w:rPr>
      </w:pPr>
      <w:r w:rsidRPr="00410493">
        <w:rPr>
          <w:rFonts w:ascii="Barlow" w:hAnsi="Barlow" w:cs="Arial"/>
          <w:bCs/>
          <w:sz w:val="20"/>
          <w:szCs w:val="20"/>
        </w:rPr>
        <w:t>1.- Los gastos superiores al 10% del total de gasto se integran a continuación:</w:t>
      </w:r>
    </w:p>
    <w:p w:rsidR="00FB5884" w:rsidRPr="00410493" w:rsidRDefault="00FB5884" w:rsidP="00FB5884">
      <w:pPr>
        <w:autoSpaceDE w:val="0"/>
        <w:autoSpaceDN w:val="0"/>
        <w:adjustRightInd w:val="0"/>
        <w:spacing w:line="360" w:lineRule="auto"/>
        <w:jc w:val="both"/>
        <w:rPr>
          <w:rFonts w:ascii="Barlow" w:hAnsi="Barlow" w:cs="Arial"/>
          <w:bCs/>
          <w:sz w:val="20"/>
          <w:szCs w:val="20"/>
        </w:rPr>
      </w:pPr>
    </w:p>
    <w:p w:rsidR="00FB5884" w:rsidRPr="00A11C1C" w:rsidRDefault="00FB5884" w:rsidP="00FB5884">
      <w:pPr>
        <w:pStyle w:val="Prrafodelista"/>
        <w:numPr>
          <w:ilvl w:val="0"/>
          <w:numId w:val="13"/>
        </w:numPr>
        <w:autoSpaceDE w:val="0"/>
        <w:autoSpaceDN w:val="0"/>
        <w:adjustRightInd w:val="0"/>
        <w:spacing w:line="360" w:lineRule="auto"/>
        <w:jc w:val="both"/>
        <w:rPr>
          <w:rFonts w:ascii="Barlow" w:hAnsi="Barlow" w:cs="Arial"/>
          <w:bCs/>
          <w:sz w:val="20"/>
          <w:szCs w:val="20"/>
        </w:rPr>
      </w:pPr>
      <w:r w:rsidRPr="00A11C1C">
        <w:rPr>
          <w:rFonts w:ascii="Barlow" w:hAnsi="Barlow" w:cs="Arial"/>
          <w:bCs/>
          <w:sz w:val="20"/>
          <w:szCs w:val="20"/>
        </w:rPr>
        <w:t xml:space="preserve">La cuenta de “Servicios Personales” representa el </w:t>
      </w:r>
      <w:r w:rsidR="001D6B3B">
        <w:rPr>
          <w:rFonts w:ascii="Barlow" w:hAnsi="Barlow" w:cs="Arial"/>
          <w:bCs/>
          <w:sz w:val="20"/>
          <w:szCs w:val="20"/>
        </w:rPr>
        <w:t>32.49</w:t>
      </w:r>
      <w:r w:rsidRPr="00A11C1C">
        <w:rPr>
          <w:rFonts w:ascii="Barlow" w:hAnsi="Barlow" w:cs="Arial"/>
          <w:bCs/>
          <w:sz w:val="20"/>
          <w:szCs w:val="20"/>
        </w:rPr>
        <w:t>%, el cual corresponde al pago el capítulo 1000</w:t>
      </w:r>
      <w:r w:rsidR="00A11C1C" w:rsidRPr="00A11C1C">
        <w:rPr>
          <w:rFonts w:ascii="Barlow" w:hAnsi="Barlow" w:cs="Arial"/>
          <w:bCs/>
          <w:sz w:val="20"/>
          <w:szCs w:val="20"/>
        </w:rPr>
        <w:t xml:space="preserve">. </w:t>
      </w:r>
      <w:r w:rsidRPr="00A11C1C">
        <w:rPr>
          <w:rFonts w:ascii="Barlow" w:hAnsi="Barlow" w:cs="Arial"/>
          <w:bCs/>
          <w:sz w:val="20"/>
          <w:szCs w:val="20"/>
        </w:rPr>
        <w:t xml:space="preserve"> Son los recursos empleados para cubrir las remuneraciones del personal al servicio de </w:t>
      </w:r>
      <w:r w:rsidR="00A11C1C" w:rsidRPr="00A11C1C">
        <w:rPr>
          <w:rFonts w:ascii="Barlow" w:hAnsi="Barlow" w:cs="Arial"/>
          <w:bCs/>
          <w:sz w:val="20"/>
          <w:szCs w:val="20"/>
        </w:rPr>
        <w:t xml:space="preserve">este Sistema DIF </w:t>
      </w:r>
    </w:p>
    <w:p w:rsidR="00A11C1C" w:rsidRPr="00A11C1C" w:rsidRDefault="00FB5884" w:rsidP="00A11C1C">
      <w:pPr>
        <w:pStyle w:val="Prrafodelista"/>
        <w:numPr>
          <w:ilvl w:val="0"/>
          <w:numId w:val="13"/>
        </w:numPr>
        <w:autoSpaceDE w:val="0"/>
        <w:autoSpaceDN w:val="0"/>
        <w:adjustRightInd w:val="0"/>
        <w:spacing w:line="360" w:lineRule="auto"/>
        <w:jc w:val="both"/>
        <w:rPr>
          <w:rFonts w:ascii="Calibri" w:hAnsi="Calibri"/>
          <w:b/>
          <w:i/>
          <w:sz w:val="20"/>
          <w:szCs w:val="20"/>
        </w:rPr>
      </w:pPr>
      <w:r w:rsidRPr="00A11C1C">
        <w:rPr>
          <w:rFonts w:ascii="Barlow" w:hAnsi="Barlow" w:cs="Arial"/>
          <w:bCs/>
          <w:sz w:val="20"/>
          <w:szCs w:val="20"/>
        </w:rPr>
        <w:t>Las cuentas de “</w:t>
      </w:r>
      <w:r w:rsidR="00A11C1C" w:rsidRPr="00A11C1C">
        <w:rPr>
          <w:rFonts w:ascii="Barlow" w:hAnsi="Barlow" w:cs="Arial"/>
          <w:bCs/>
          <w:sz w:val="20"/>
          <w:szCs w:val="20"/>
        </w:rPr>
        <w:t>Materiales y Suministros</w:t>
      </w:r>
      <w:r w:rsidRPr="00A11C1C">
        <w:rPr>
          <w:rFonts w:ascii="Barlow" w:hAnsi="Barlow" w:cs="Arial"/>
          <w:bCs/>
          <w:sz w:val="20"/>
          <w:szCs w:val="20"/>
        </w:rPr>
        <w:t xml:space="preserve">”, representa el </w:t>
      </w:r>
      <w:r w:rsidR="00E9090F">
        <w:rPr>
          <w:rFonts w:ascii="Barlow" w:hAnsi="Barlow" w:cs="Arial"/>
          <w:bCs/>
          <w:sz w:val="20"/>
          <w:szCs w:val="20"/>
        </w:rPr>
        <w:t>51.</w:t>
      </w:r>
      <w:r w:rsidR="004224E7">
        <w:rPr>
          <w:rFonts w:ascii="Barlow" w:hAnsi="Barlow" w:cs="Arial"/>
          <w:bCs/>
          <w:sz w:val="20"/>
          <w:szCs w:val="20"/>
        </w:rPr>
        <w:t>16</w:t>
      </w:r>
      <w:r w:rsidRPr="00A11C1C">
        <w:rPr>
          <w:rFonts w:ascii="Barlow" w:hAnsi="Barlow" w:cs="Arial"/>
          <w:bCs/>
          <w:sz w:val="20"/>
          <w:szCs w:val="20"/>
        </w:rPr>
        <w:t xml:space="preserve">%, dicho importe corresponde </w:t>
      </w:r>
      <w:r w:rsidR="00A11C1C" w:rsidRPr="00A11C1C">
        <w:rPr>
          <w:rFonts w:ascii="Barlow" w:hAnsi="Barlow" w:cs="Arial"/>
          <w:bCs/>
          <w:sz w:val="20"/>
          <w:szCs w:val="20"/>
        </w:rPr>
        <w:t xml:space="preserve">entre otros a los programas de asistencia alimentaria. </w:t>
      </w:r>
    </w:p>
    <w:p w:rsidR="00A11C1C" w:rsidRDefault="00A11C1C" w:rsidP="00A11C1C">
      <w:pPr>
        <w:pStyle w:val="Prrafodelista"/>
        <w:autoSpaceDE w:val="0"/>
        <w:autoSpaceDN w:val="0"/>
        <w:adjustRightInd w:val="0"/>
        <w:spacing w:line="360" w:lineRule="auto"/>
        <w:jc w:val="both"/>
        <w:rPr>
          <w:rFonts w:ascii="Calibri" w:hAnsi="Calibri"/>
          <w:b/>
          <w:i/>
          <w:sz w:val="20"/>
          <w:szCs w:val="20"/>
        </w:rPr>
      </w:pPr>
    </w:p>
    <w:p w:rsidR="004224E7" w:rsidRDefault="004224E7" w:rsidP="00A11C1C">
      <w:pPr>
        <w:pStyle w:val="Prrafodelista"/>
        <w:autoSpaceDE w:val="0"/>
        <w:autoSpaceDN w:val="0"/>
        <w:adjustRightInd w:val="0"/>
        <w:spacing w:line="360" w:lineRule="auto"/>
        <w:jc w:val="both"/>
        <w:rPr>
          <w:rFonts w:ascii="Calibri" w:hAnsi="Calibri"/>
          <w:b/>
          <w:i/>
          <w:sz w:val="20"/>
          <w:szCs w:val="20"/>
        </w:rPr>
      </w:pPr>
    </w:p>
    <w:p w:rsidR="004224E7" w:rsidRDefault="004224E7" w:rsidP="00A11C1C">
      <w:pPr>
        <w:pStyle w:val="Prrafodelista"/>
        <w:autoSpaceDE w:val="0"/>
        <w:autoSpaceDN w:val="0"/>
        <w:adjustRightInd w:val="0"/>
        <w:spacing w:line="360" w:lineRule="auto"/>
        <w:jc w:val="both"/>
        <w:rPr>
          <w:rFonts w:ascii="Calibri" w:hAnsi="Calibri"/>
          <w:b/>
          <w:i/>
          <w:sz w:val="20"/>
          <w:szCs w:val="20"/>
        </w:rPr>
      </w:pPr>
    </w:p>
    <w:p w:rsidR="004224E7" w:rsidRDefault="004224E7" w:rsidP="00A11C1C">
      <w:pPr>
        <w:pStyle w:val="Prrafodelista"/>
        <w:autoSpaceDE w:val="0"/>
        <w:autoSpaceDN w:val="0"/>
        <w:adjustRightInd w:val="0"/>
        <w:spacing w:line="360" w:lineRule="auto"/>
        <w:jc w:val="both"/>
        <w:rPr>
          <w:rFonts w:ascii="Calibri" w:hAnsi="Calibri"/>
          <w:b/>
          <w:i/>
          <w:sz w:val="20"/>
          <w:szCs w:val="20"/>
        </w:rPr>
      </w:pPr>
    </w:p>
    <w:p w:rsidR="004224E7" w:rsidRDefault="004224E7" w:rsidP="00A11C1C">
      <w:pPr>
        <w:pStyle w:val="Prrafodelista"/>
        <w:autoSpaceDE w:val="0"/>
        <w:autoSpaceDN w:val="0"/>
        <w:adjustRightInd w:val="0"/>
        <w:spacing w:line="360" w:lineRule="auto"/>
        <w:jc w:val="both"/>
        <w:rPr>
          <w:rFonts w:ascii="Calibri" w:hAnsi="Calibri"/>
          <w:b/>
          <w:i/>
          <w:sz w:val="20"/>
          <w:szCs w:val="20"/>
        </w:rPr>
      </w:pPr>
    </w:p>
    <w:p w:rsidR="004224E7" w:rsidRDefault="004224E7" w:rsidP="00A11C1C">
      <w:pPr>
        <w:pStyle w:val="Prrafodelista"/>
        <w:autoSpaceDE w:val="0"/>
        <w:autoSpaceDN w:val="0"/>
        <w:adjustRightInd w:val="0"/>
        <w:spacing w:line="360" w:lineRule="auto"/>
        <w:jc w:val="both"/>
        <w:rPr>
          <w:rFonts w:ascii="Calibri" w:hAnsi="Calibri"/>
          <w:b/>
          <w:i/>
          <w:sz w:val="20"/>
          <w:szCs w:val="20"/>
        </w:rPr>
      </w:pPr>
    </w:p>
    <w:p w:rsidR="00A11C1C" w:rsidRPr="00410493" w:rsidRDefault="00A11C1C" w:rsidP="00A11C1C">
      <w:pPr>
        <w:autoSpaceDE w:val="0"/>
        <w:autoSpaceDN w:val="0"/>
        <w:adjustRightInd w:val="0"/>
        <w:spacing w:line="360" w:lineRule="auto"/>
        <w:jc w:val="both"/>
        <w:rPr>
          <w:rFonts w:ascii="Barlow" w:hAnsi="Barlow" w:cs="Arial"/>
          <w:sz w:val="20"/>
          <w:szCs w:val="20"/>
        </w:rPr>
      </w:pPr>
      <w:r w:rsidRPr="00410493">
        <w:rPr>
          <w:rFonts w:ascii="Barlow" w:hAnsi="Barlow" w:cs="Arial"/>
          <w:b/>
          <w:sz w:val="20"/>
          <w:szCs w:val="20"/>
        </w:rPr>
        <w:t>III) NOTAS AL ESTADO DE VARIACIONES EN LA HACIENDA PÚBLICA.</w:t>
      </w:r>
    </w:p>
    <w:p w:rsidR="00A11C1C" w:rsidRPr="00410493" w:rsidRDefault="00A11C1C" w:rsidP="00A11C1C">
      <w:pPr>
        <w:autoSpaceDE w:val="0"/>
        <w:autoSpaceDN w:val="0"/>
        <w:adjustRightInd w:val="0"/>
        <w:spacing w:line="360" w:lineRule="auto"/>
        <w:ind w:firstLine="708"/>
        <w:jc w:val="both"/>
        <w:rPr>
          <w:rFonts w:ascii="Barlow" w:hAnsi="Barlow" w:cs="Arial"/>
          <w:sz w:val="20"/>
          <w:szCs w:val="20"/>
        </w:rPr>
      </w:pPr>
    </w:p>
    <w:p w:rsidR="00A11C1C" w:rsidRPr="00410493" w:rsidRDefault="00A11C1C" w:rsidP="00A11C1C">
      <w:pPr>
        <w:autoSpaceDE w:val="0"/>
        <w:autoSpaceDN w:val="0"/>
        <w:adjustRightInd w:val="0"/>
        <w:spacing w:line="360" w:lineRule="auto"/>
        <w:ind w:left="360"/>
        <w:jc w:val="both"/>
        <w:rPr>
          <w:rFonts w:ascii="Barlow" w:hAnsi="Barlow" w:cs="Arial"/>
          <w:sz w:val="20"/>
          <w:szCs w:val="20"/>
        </w:rPr>
      </w:pPr>
      <w:r w:rsidRPr="00410493">
        <w:rPr>
          <w:rFonts w:ascii="Barlow" w:hAnsi="Barlow" w:cs="Arial"/>
          <w:sz w:val="20"/>
          <w:szCs w:val="20"/>
        </w:rPr>
        <w:t>1.- En la cuenta de patrimonio contribuido presenta las siguientes variaciones:</w:t>
      </w:r>
    </w:p>
    <w:p w:rsidR="00E62984" w:rsidRPr="00E62984" w:rsidRDefault="00E62984" w:rsidP="00E62984">
      <w:pPr>
        <w:jc w:val="both"/>
        <w:rPr>
          <w:rFonts w:ascii="Calibri" w:hAnsi="Calibri"/>
          <w:b/>
          <w:i/>
          <w:sz w:val="20"/>
          <w:szCs w:val="20"/>
        </w:rPr>
      </w:pPr>
    </w:p>
    <w:tbl>
      <w:tblPr>
        <w:tblW w:w="11371" w:type="dxa"/>
        <w:tblInd w:w="606" w:type="dxa"/>
        <w:tblLayout w:type="fixed"/>
        <w:tblCellMar>
          <w:left w:w="70" w:type="dxa"/>
          <w:right w:w="70" w:type="dxa"/>
        </w:tblCellMar>
        <w:tblLook w:val="04A0"/>
      </w:tblPr>
      <w:tblGrid>
        <w:gridCol w:w="4180"/>
        <w:gridCol w:w="1647"/>
        <w:gridCol w:w="1701"/>
        <w:gridCol w:w="1717"/>
        <w:gridCol w:w="2126"/>
      </w:tblGrid>
      <w:tr w:rsidR="00A80A29" w:rsidRPr="00437E98" w:rsidTr="00A90294">
        <w:trPr>
          <w:trHeight w:val="744"/>
        </w:trPr>
        <w:tc>
          <w:tcPr>
            <w:tcW w:w="4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80A29" w:rsidRPr="00376103" w:rsidRDefault="00A80A29" w:rsidP="00A80A29">
            <w:pPr>
              <w:rPr>
                <w:rFonts w:ascii="Barlow" w:hAnsi="Barlow"/>
                <w:color w:val="000000"/>
                <w:sz w:val="20"/>
                <w:szCs w:val="20"/>
                <w:lang w:val="es-MX" w:eastAsia="es-MX"/>
              </w:rPr>
            </w:pPr>
            <w:r w:rsidRPr="00376103">
              <w:rPr>
                <w:rFonts w:ascii="Barlow" w:hAnsi="Barlow"/>
                <w:color w:val="000000"/>
                <w:sz w:val="20"/>
                <w:szCs w:val="20"/>
                <w:lang w:val="es-MX" w:eastAsia="es-MX"/>
              </w:rPr>
              <w:t> </w:t>
            </w:r>
          </w:p>
        </w:tc>
        <w:tc>
          <w:tcPr>
            <w:tcW w:w="1647" w:type="dxa"/>
            <w:tcBorders>
              <w:top w:val="single" w:sz="8" w:space="0" w:color="auto"/>
              <w:left w:val="nil"/>
              <w:bottom w:val="single" w:sz="8" w:space="0" w:color="auto"/>
              <w:right w:val="single" w:sz="8" w:space="0" w:color="auto"/>
            </w:tcBorders>
            <w:shd w:val="clear" w:color="auto" w:fill="auto"/>
            <w:vAlign w:val="center"/>
            <w:hideMark/>
          </w:tcPr>
          <w:p w:rsidR="00A80A29" w:rsidRPr="00376103" w:rsidRDefault="00A80A29" w:rsidP="00A80A29">
            <w:pPr>
              <w:jc w:val="center"/>
              <w:rPr>
                <w:rFonts w:ascii="Barlow" w:hAnsi="Barlow"/>
                <w:b/>
                <w:bCs/>
                <w:color w:val="000000"/>
                <w:sz w:val="20"/>
                <w:szCs w:val="20"/>
                <w:lang w:val="es-MX" w:eastAsia="es-MX"/>
              </w:rPr>
            </w:pPr>
            <w:r w:rsidRPr="00376103">
              <w:rPr>
                <w:rFonts w:ascii="Barlow" w:hAnsi="Barlow"/>
                <w:b/>
                <w:bCs/>
                <w:color w:val="000000"/>
                <w:sz w:val="20"/>
                <w:szCs w:val="20"/>
                <w:lang w:val="es-MX" w:eastAsia="es-MX"/>
              </w:rPr>
              <w:t>Hacienda Pública/Patrimonio Contribuido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80A29" w:rsidRPr="00376103" w:rsidRDefault="00A80A29" w:rsidP="00A80A29">
            <w:pPr>
              <w:jc w:val="center"/>
              <w:rPr>
                <w:rFonts w:ascii="Barlow" w:hAnsi="Barlow"/>
                <w:b/>
                <w:bCs/>
                <w:color w:val="000000"/>
                <w:sz w:val="20"/>
                <w:szCs w:val="20"/>
                <w:lang w:val="es-MX" w:eastAsia="es-MX"/>
              </w:rPr>
            </w:pPr>
            <w:r w:rsidRPr="00376103">
              <w:rPr>
                <w:rFonts w:ascii="Barlow" w:hAnsi="Barlow"/>
                <w:b/>
                <w:bCs/>
                <w:color w:val="000000"/>
                <w:sz w:val="20"/>
                <w:szCs w:val="20"/>
                <w:lang w:val="es-MX" w:eastAsia="es-MX"/>
              </w:rPr>
              <w:t>Hacienda Pública/Patrimonio Generado de Ejercicios Ant.</w:t>
            </w:r>
          </w:p>
        </w:tc>
        <w:tc>
          <w:tcPr>
            <w:tcW w:w="1717" w:type="dxa"/>
            <w:tcBorders>
              <w:top w:val="single" w:sz="8" w:space="0" w:color="auto"/>
              <w:left w:val="nil"/>
              <w:bottom w:val="single" w:sz="8" w:space="0" w:color="auto"/>
              <w:right w:val="single" w:sz="8" w:space="0" w:color="auto"/>
            </w:tcBorders>
            <w:shd w:val="clear" w:color="auto" w:fill="auto"/>
            <w:vAlign w:val="center"/>
            <w:hideMark/>
          </w:tcPr>
          <w:p w:rsidR="00A80A29" w:rsidRPr="00376103" w:rsidRDefault="00A80A29" w:rsidP="00A80A29">
            <w:pPr>
              <w:jc w:val="center"/>
              <w:rPr>
                <w:rFonts w:ascii="Barlow" w:hAnsi="Barlow"/>
                <w:b/>
                <w:bCs/>
                <w:color w:val="000000"/>
                <w:sz w:val="20"/>
                <w:szCs w:val="20"/>
                <w:lang w:val="es-MX" w:eastAsia="es-MX"/>
              </w:rPr>
            </w:pPr>
            <w:r w:rsidRPr="00376103">
              <w:rPr>
                <w:rFonts w:ascii="Barlow" w:hAnsi="Barlow"/>
                <w:b/>
                <w:bCs/>
                <w:color w:val="000000"/>
                <w:sz w:val="20"/>
                <w:szCs w:val="20"/>
                <w:lang w:val="es-MX" w:eastAsia="es-MX"/>
              </w:rPr>
              <w:t>Hacienda Pública/Patrimonio Generado del Ejercicio</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A80A29" w:rsidRPr="00376103" w:rsidRDefault="00A80A29" w:rsidP="00A80A29">
            <w:pPr>
              <w:jc w:val="center"/>
              <w:rPr>
                <w:rFonts w:ascii="Barlow" w:hAnsi="Barlow"/>
                <w:b/>
                <w:bCs/>
                <w:color w:val="000000"/>
                <w:sz w:val="20"/>
                <w:szCs w:val="20"/>
                <w:lang w:val="es-MX" w:eastAsia="es-MX"/>
              </w:rPr>
            </w:pPr>
            <w:r w:rsidRPr="00376103">
              <w:rPr>
                <w:rFonts w:ascii="Barlow" w:hAnsi="Barlow"/>
                <w:b/>
                <w:bCs/>
                <w:color w:val="000000"/>
                <w:sz w:val="20"/>
                <w:szCs w:val="20"/>
                <w:lang w:val="es-MX" w:eastAsia="es-MX"/>
              </w:rPr>
              <w:t>TOTAL</w:t>
            </w:r>
          </w:p>
        </w:tc>
      </w:tr>
      <w:tr w:rsidR="00A80A29" w:rsidRPr="00437E98" w:rsidTr="00A90294">
        <w:trPr>
          <w:trHeight w:val="300"/>
        </w:trPr>
        <w:tc>
          <w:tcPr>
            <w:tcW w:w="4180" w:type="dxa"/>
            <w:tcBorders>
              <w:top w:val="nil"/>
              <w:left w:val="nil"/>
              <w:bottom w:val="nil"/>
              <w:right w:val="nil"/>
            </w:tcBorders>
            <w:shd w:val="clear" w:color="auto" w:fill="auto"/>
            <w:noWrap/>
            <w:vAlign w:val="bottom"/>
            <w:hideMark/>
          </w:tcPr>
          <w:p w:rsidR="00A80A29" w:rsidRPr="00376103" w:rsidRDefault="00A80A29" w:rsidP="00A80A29">
            <w:pPr>
              <w:rPr>
                <w:rFonts w:ascii="Barlow" w:hAnsi="Barlow"/>
                <w:color w:val="000000"/>
                <w:sz w:val="20"/>
                <w:szCs w:val="20"/>
                <w:lang w:val="es-MX" w:eastAsia="es-MX"/>
              </w:rPr>
            </w:pPr>
          </w:p>
        </w:tc>
        <w:tc>
          <w:tcPr>
            <w:tcW w:w="1647" w:type="dxa"/>
            <w:tcBorders>
              <w:top w:val="nil"/>
              <w:left w:val="nil"/>
              <w:bottom w:val="nil"/>
              <w:right w:val="nil"/>
            </w:tcBorders>
            <w:shd w:val="clear" w:color="auto" w:fill="auto"/>
            <w:vAlign w:val="bottom"/>
            <w:hideMark/>
          </w:tcPr>
          <w:p w:rsidR="00A80A29" w:rsidRPr="00376103" w:rsidRDefault="00A80A29" w:rsidP="00A80A29">
            <w:pPr>
              <w:rPr>
                <w:rFonts w:ascii="Barlow" w:hAnsi="Barlow"/>
                <w:color w:val="000000"/>
                <w:sz w:val="20"/>
                <w:szCs w:val="20"/>
                <w:lang w:val="es-MX" w:eastAsia="es-MX"/>
              </w:rPr>
            </w:pPr>
          </w:p>
        </w:tc>
        <w:tc>
          <w:tcPr>
            <w:tcW w:w="1701" w:type="dxa"/>
            <w:tcBorders>
              <w:top w:val="nil"/>
              <w:left w:val="nil"/>
              <w:bottom w:val="nil"/>
              <w:right w:val="nil"/>
            </w:tcBorders>
            <w:shd w:val="clear" w:color="auto" w:fill="auto"/>
            <w:vAlign w:val="bottom"/>
            <w:hideMark/>
          </w:tcPr>
          <w:p w:rsidR="00A80A29" w:rsidRPr="00376103" w:rsidRDefault="00A80A29" w:rsidP="00A80A29">
            <w:pPr>
              <w:rPr>
                <w:rFonts w:ascii="Barlow" w:hAnsi="Barlow"/>
                <w:color w:val="000000"/>
                <w:sz w:val="20"/>
                <w:szCs w:val="20"/>
                <w:lang w:val="es-MX" w:eastAsia="es-MX"/>
              </w:rPr>
            </w:pPr>
          </w:p>
        </w:tc>
        <w:tc>
          <w:tcPr>
            <w:tcW w:w="1717" w:type="dxa"/>
            <w:tcBorders>
              <w:top w:val="nil"/>
              <w:left w:val="nil"/>
              <w:bottom w:val="nil"/>
              <w:right w:val="nil"/>
            </w:tcBorders>
            <w:shd w:val="clear" w:color="auto" w:fill="auto"/>
            <w:vAlign w:val="bottom"/>
            <w:hideMark/>
          </w:tcPr>
          <w:p w:rsidR="00A80A29" w:rsidRPr="00376103" w:rsidRDefault="00A80A29" w:rsidP="00A80A29">
            <w:pPr>
              <w:rPr>
                <w:rFonts w:ascii="Barlow" w:hAnsi="Barlow"/>
                <w:color w:val="000000"/>
                <w:sz w:val="20"/>
                <w:szCs w:val="20"/>
                <w:lang w:val="es-MX" w:eastAsia="es-MX"/>
              </w:rPr>
            </w:pPr>
          </w:p>
        </w:tc>
        <w:tc>
          <w:tcPr>
            <w:tcW w:w="2126" w:type="dxa"/>
            <w:tcBorders>
              <w:top w:val="nil"/>
              <w:left w:val="nil"/>
              <w:bottom w:val="nil"/>
              <w:right w:val="nil"/>
            </w:tcBorders>
            <w:shd w:val="clear" w:color="auto" w:fill="auto"/>
            <w:vAlign w:val="bottom"/>
            <w:hideMark/>
          </w:tcPr>
          <w:p w:rsidR="00A80A29" w:rsidRPr="00376103" w:rsidRDefault="00A80A29" w:rsidP="00A80A29">
            <w:pPr>
              <w:rPr>
                <w:rFonts w:ascii="Barlow" w:hAnsi="Barlow"/>
                <w:color w:val="000000"/>
                <w:sz w:val="20"/>
                <w:szCs w:val="20"/>
                <w:lang w:val="es-MX" w:eastAsia="es-MX"/>
              </w:rPr>
            </w:pPr>
          </w:p>
        </w:tc>
      </w:tr>
      <w:tr w:rsidR="00A80A29" w:rsidRPr="00437E98" w:rsidTr="00A90294">
        <w:trPr>
          <w:trHeight w:val="510"/>
        </w:trPr>
        <w:tc>
          <w:tcPr>
            <w:tcW w:w="4180" w:type="dxa"/>
            <w:tcBorders>
              <w:top w:val="nil"/>
              <w:left w:val="nil"/>
              <w:bottom w:val="nil"/>
              <w:right w:val="nil"/>
            </w:tcBorders>
            <w:shd w:val="clear" w:color="auto" w:fill="auto"/>
            <w:vAlign w:val="center"/>
            <w:hideMark/>
          </w:tcPr>
          <w:p w:rsidR="00A80A29" w:rsidRPr="00376103" w:rsidRDefault="00A80A29" w:rsidP="007622B4">
            <w:pPr>
              <w:rPr>
                <w:rFonts w:ascii="Barlow" w:hAnsi="Barlow"/>
                <w:color w:val="000000"/>
                <w:sz w:val="20"/>
                <w:szCs w:val="20"/>
                <w:lang w:val="es-MX" w:eastAsia="es-MX"/>
              </w:rPr>
            </w:pPr>
            <w:r w:rsidRPr="00376103">
              <w:rPr>
                <w:rFonts w:ascii="Barlow" w:hAnsi="Barlow"/>
                <w:color w:val="000000"/>
                <w:sz w:val="20"/>
                <w:szCs w:val="20"/>
                <w:lang w:val="es-MX" w:eastAsia="es-MX"/>
              </w:rPr>
              <w:t>Hacienda Pública/Patrimon</w:t>
            </w:r>
            <w:r w:rsidR="00437E98" w:rsidRPr="00376103">
              <w:rPr>
                <w:rFonts w:ascii="Barlow" w:hAnsi="Barlow"/>
                <w:color w:val="000000"/>
                <w:sz w:val="20"/>
                <w:szCs w:val="20"/>
                <w:lang w:val="es-MX" w:eastAsia="es-MX"/>
              </w:rPr>
              <w:t>io Neto Final del Ejercicio 201</w:t>
            </w:r>
            <w:r w:rsidR="007622B4" w:rsidRPr="00376103">
              <w:rPr>
                <w:rFonts w:ascii="Barlow" w:hAnsi="Barlow"/>
                <w:color w:val="000000"/>
                <w:sz w:val="20"/>
                <w:szCs w:val="20"/>
                <w:lang w:val="es-MX" w:eastAsia="es-MX"/>
              </w:rPr>
              <w:t>7</w:t>
            </w:r>
          </w:p>
        </w:tc>
        <w:tc>
          <w:tcPr>
            <w:tcW w:w="1647" w:type="dxa"/>
            <w:tcBorders>
              <w:top w:val="nil"/>
              <w:left w:val="nil"/>
              <w:bottom w:val="nil"/>
              <w:right w:val="nil"/>
            </w:tcBorders>
            <w:shd w:val="clear" w:color="auto" w:fill="auto"/>
            <w:noWrap/>
            <w:vAlign w:val="center"/>
            <w:hideMark/>
          </w:tcPr>
          <w:p w:rsidR="00A80A29" w:rsidRPr="00376103" w:rsidRDefault="00A80A29" w:rsidP="00A80A29">
            <w:pPr>
              <w:jc w:val="right"/>
              <w:rPr>
                <w:rFonts w:ascii="Barlow" w:hAnsi="Barlow"/>
                <w:color w:val="000000"/>
                <w:sz w:val="20"/>
                <w:szCs w:val="20"/>
                <w:lang w:val="es-MX" w:eastAsia="es-MX"/>
              </w:rPr>
            </w:pPr>
            <w:r w:rsidRPr="00376103">
              <w:rPr>
                <w:rFonts w:ascii="Barlow" w:hAnsi="Barlow"/>
                <w:color w:val="000000"/>
                <w:sz w:val="20"/>
                <w:szCs w:val="20"/>
                <w:lang w:val="es-MX" w:eastAsia="es-MX"/>
              </w:rPr>
              <w:t>10,499,752</w:t>
            </w:r>
            <w:r w:rsidR="004266DF" w:rsidRPr="00376103">
              <w:rPr>
                <w:rFonts w:ascii="Barlow" w:hAnsi="Barlow"/>
                <w:color w:val="000000"/>
                <w:sz w:val="20"/>
                <w:szCs w:val="20"/>
                <w:lang w:val="es-MX" w:eastAsia="es-MX"/>
              </w:rPr>
              <w:t>.20</w:t>
            </w:r>
          </w:p>
        </w:tc>
        <w:tc>
          <w:tcPr>
            <w:tcW w:w="1701"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1717"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r w:rsidRPr="00376103">
              <w:rPr>
                <w:rFonts w:ascii="Barlow" w:hAnsi="Barlow"/>
                <w:color w:val="000000"/>
                <w:sz w:val="20"/>
                <w:szCs w:val="20"/>
                <w:lang w:val="es-MX" w:eastAsia="es-MX"/>
              </w:rPr>
              <w:t xml:space="preserve">                          -   </w:t>
            </w:r>
          </w:p>
        </w:tc>
        <w:tc>
          <w:tcPr>
            <w:tcW w:w="2126" w:type="dxa"/>
            <w:tcBorders>
              <w:top w:val="nil"/>
              <w:left w:val="nil"/>
              <w:bottom w:val="nil"/>
              <w:right w:val="nil"/>
            </w:tcBorders>
            <w:shd w:val="clear" w:color="auto" w:fill="auto"/>
            <w:noWrap/>
            <w:vAlign w:val="center"/>
            <w:hideMark/>
          </w:tcPr>
          <w:p w:rsidR="00A80A29" w:rsidRPr="00376103" w:rsidRDefault="00A80A29" w:rsidP="00A80A29">
            <w:pPr>
              <w:jc w:val="right"/>
              <w:rPr>
                <w:rFonts w:ascii="Barlow" w:hAnsi="Barlow"/>
                <w:color w:val="000000"/>
                <w:sz w:val="20"/>
                <w:szCs w:val="20"/>
                <w:lang w:val="es-MX" w:eastAsia="es-MX"/>
              </w:rPr>
            </w:pPr>
            <w:r w:rsidRPr="00376103">
              <w:rPr>
                <w:rFonts w:ascii="Barlow" w:hAnsi="Barlow"/>
                <w:color w:val="000000"/>
                <w:sz w:val="20"/>
                <w:szCs w:val="20"/>
                <w:lang w:val="es-MX" w:eastAsia="es-MX"/>
              </w:rPr>
              <w:t>10,499,752</w:t>
            </w:r>
            <w:r w:rsidR="00FD4ED2" w:rsidRPr="00376103">
              <w:rPr>
                <w:rFonts w:ascii="Barlow" w:hAnsi="Barlow"/>
                <w:color w:val="000000"/>
                <w:sz w:val="20"/>
                <w:szCs w:val="20"/>
                <w:lang w:val="es-MX" w:eastAsia="es-MX"/>
              </w:rPr>
              <w:t>.20</w:t>
            </w:r>
          </w:p>
        </w:tc>
      </w:tr>
      <w:tr w:rsidR="00A80A29" w:rsidRPr="00437E98" w:rsidTr="00A90294">
        <w:trPr>
          <w:trHeight w:val="105"/>
        </w:trPr>
        <w:tc>
          <w:tcPr>
            <w:tcW w:w="4180" w:type="dxa"/>
            <w:tcBorders>
              <w:top w:val="nil"/>
              <w:left w:val="nil"/>
              <w:bottom w:val="nil"/>
              <w:right w:val="nil"/>
            </w:tcBorders>
            <w:shd w:val="clear" w:color="auto" w:fill="auto"/>
            <w:vAlign w:val="center"/>
            <w:hideMark/>
          </w:tcPr>
          <w:p w:rsidR="00A80A29" w:rsidRPr="00376103" w:rsidRDefault="00A80A29" w:rsidP="00A80A29">
            <w:pPr>
              <w:rPr>
                <w:rFonts w:ascii="Barlow" w:hAnsi="Barlow"/>
                <w:color w:val="000000"/>
                <w:sz w:val="20"/>
                <w:szCs w:val="20"/>
                <w:lang w:val="es-MX" w:eastAsia="es-MX"/>
              </w:rPr>
            </w:pPr>
          </w:p>
        </w:tc>
        <w:tc>
          <w:tcPr>
            <w:tcW w:w="1647"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1701"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1717"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2126"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r>
      <w:tr w:rsidR="00A80A29" w:rsidRPr="00437E98" w:rsidTr="00A90294">
        <w:trPr>
          <w:trHeight w:val="510"/>
        </w:trPr>
        <w:tc>
          <w:tcPr>
            <w:tcW w:w="4180" w:type="dxa"/>
            <w:tcBorders>
              <w:top w:val="nil"/>
              <w:left w:val="nil"/>
              <w:bottom w:val="nil"/>
              <w:right w:val="nil"/>
            </w:tcBorders>
            <w:shd w:val="clear" w:color="auto" w:fill="auto"/>
            <w:vAlign w:val="center"/>
            <w:hideMark/>
          </w:tcPr>
          <w:p w:rsidR="00A80A29" w:rsidRPr="00376103" w:rsidRDefault="00A80A29" w:rsidP="00A80A29">
            <w:pPr>
              <w:rPr>
                <w:rFonts w:ascii="Barlow" w:hAnsi="Barlow"/>
                <w:color w:val="000000"/>
                <w:sz w:val="20"/>
                <w:szCs w:val="20"/>
                <w:lang w:val="es-MX" w:eastAsia="es-MX"/>
              </w:rPr>
            </w:pPr>
            <w:r w:rsidRPr="00376103">
              <w:rPr>
                <w:rFonts w:ascii="Barlow" w:hAnsi="Barlow"/>
                <w:color w:val="000000"/>
                <w:sz w:val="20"/>
                <w:szCs w:val="20"/>
                <w:lang w:val="es-MX" w:eastAsia="es-MX"/>
              </w:rPr>
              <w:t xml:space="preserve">Variaciones de la Hacienda Pública/Patrimonio Neto del Ejercicio </w:t>
            </w:r>
          </w:p>
        </w:tc>
        <w:tc>
          <w:tcPr>
            <w:tcW w:w="1647"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r w:rsidRPr="00376103">
              <w:rPr>
                <w:rFonts w:ascii="Barlow" w:hAnsi="Barlow"/>
                <w:color w:val="000000"/>
                <w:sz w:val="20"/>
                <w:szCs w:val="20"/>
                <w:lang w:val="es-MX" w:eastAsia="es-MX"/>
              </w:rPr>
              <w:t xml:space="preserve">                          -   </w:t>
            </w:r>
          </w:p>
        </w:tc>
        <w:tc>
          <w:tcPr>
            <w:tcW w:w="1701" w:type="dxa"/>
            <w:tcBorders>
              <w:top w:val="nil"/>
              <w:left w:val="nil"/>
              <w:bottom w:val="nil"/>
              <w:right w:val="nil"/>
            </w:tcBorders>
            <w:shd w:val="clear" w:color="auto" w:fill="auto"/>
            <w:noWrap/>
            <w:vAlign w:val="center"/>
            <w:hideMark/>
          </w:tcPr>
          <w:p w:rsidR="00A80A29" w:rsidRPr="00376103" w:rsidRDefault="003F0F92" w:rsidP="00180B44">
            <w:pPr>
              <w:jc w:val="right"/>
              <w:rPr>
                <w:rFonts w:ascii="Barlow" w:hAnsi="Barlow"/>
                <w:color w:val="000000"/>
                <w:sz w:val="20"/>
                <w:szCs w:val="20"/>
                <w:lang w:val="es-MX" w:eastAsia="es-MX"/>
              </w:rPr>
            </w:pPr>
            <w:r>
              <w:rPr>
                <w:rFonts w:ascii="Barlow" w:hAnsi="Barlow"/>
                <w:color w:val="000000"/>
                <w:sz w:val="20"/>
                <w:szCs w:val="20"/>
                <w:lang w:val="es-MX" w:eastAsia="es-MX"/>
              </w:rPr>
              <w:t>89,006,941.01</w:t>
            </w:r>
          </w:p>
        </w:tc>
        <w:tc>
          <w:tcPr>
            <w:tcW w:w="1717"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2126" w:type="dxa"/>
            <w:tcBorders>
              <w:top w:val="nil"/>
              <w:left w:val="nil"/>
              <w:bottom w:val="nil"/>
              <w:right w:val="nil"/>
            </w:tcBorders>
            <w:shd w:val="clear" w:color="auto" w:fill="auto"/>
            <w:noWrap/>
            <w:vAlign w:val="center"/>
            <w:hideMark/>
          </w:tcPr>
          <w:p w:rsidR="00A80A29" w:rsidRPr="00376103" w:rsidRDefault="003F0F92" w:rsidP="00FD4ED2">
            <w:pPr>
              <w:jc w:val="right"/>
              <w:rPr>
                <w:rFonts w:ascii="Barlow" w:hAnsi="Barlow"/>
                <w:color w:val="000000"/>
                <w:sz w:val="20"/>
                <w:szCs w:val="20"/>
                <w:lang w:val="es-MX" w:eastAsia="es-MX"/>
              </w:rPr>
            </w:pPr>
            <w:r>
              <w:rPr>
                <w:rFonts w:ascii="Barlow" w:hAnsi="Barlow"/>
                <w:color w:val="000000"/>
                <w:sz w:val="20"/>
                <w:szCs w:val="20"/>
                <w:lang w:val="es-MX" w:eastAsia="es-MX"/>
              </w:rPr>
              <w:t>89,006,941.01</w:t>
            </w:r>
          </w:p>
        </w:tc>
      </w:tr>
      <w:tr w:rsidR="00A80A29" w:rsidRPr="00437E98" w:rsidTr="00A90294">
        <w:trPr>
          <w:trHeight w:val="135"/>
        </w:trPr>
        <w:tc>
          <w:tcPr>
            <w:tcW w:w="4180" w:type="dxa"/>
            <w:tcBorders>
              <w:top w:val="nil"/>
              <w:left w:val="nil"/>
              <w:bottom w:val="nil"/>
              <w:right w:val="nil"/>
            </w:tcBorders>
            <w:shd w:val="clear" w:color="auto" w:fill="auto"/>
            <w:vAlign w:val="center"/>
            <w:hideMark/>
          </w:tcPr>
          <w:p w:rsidR="00A80A29" w:rsidRPr="00376103" w:rsidRDefault="00A80A29" w:rsidP="00A80A29">
            <w:pPr>
              <w:rPr>
                <w:rFonts w:ascii="Barlow" w:hAnsi="Barlow"/>
                <w:color w:val="000000"/>
                <w:sz w:val="20"/>
                <w:szCs w:val="20"/>
                <w:lang w:val="es-MX" w:eastAsia="es-MX"/>
              </w:rPr>
            </w:pPr>
          </w:p>
        </w:tc>
        <w:tc>
          <w:tcPr>
            <w:tcW w:w="1647"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1701"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1717"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c>
          <w:tcPr>
            <w:tcW w:w="2126" w:type="dxa"/>
            <w:tcBorders>
              <w:top w:val="nil"/>
              <w:left w:val="nil"/>
              <w:bottom w:val="nil"/>
              <w:right w:val="nil"/>
            </w:tcBorders>
            <w:shd w:val="clear" w:color="auto" w:fill="auto"/>
            <w:noWrap/>
            <w:vAlign w:val="center"/>
            <w:hideMark/>
          </w:tcPr>
          <w:p w:rsidR="00A80A29" w:rsidRPr="00376103" w:rsidRDefault="00A80A29" w:rsidP="00A80A29">
            <w:pPr>
              <w:rPr>
                <w:rFonts w:ascii="Barlow" w:hAnsi="Barlow"/>
                <w:color w:val="000000"/>
                <w:sz w:val="20"/>
                <w:szCs w:val="20"/>
                <w:lang w:val="es-MX" w:eastAsia="es-MX"/>
              </w:rPr>
            </w:pPr>
          </w:p>
        </w:tc>
      </w:tr>
      <w:tr w:rsidR="00B67C0D" w:rsidRPr="00437E98" w:rsidTr="00A90294">
        <w:trPr>
          <w:trHeight w:val="510"/>
        </w:trPr>
        <w:tc>
          <w:tcPr>
            <w:tcW w:w="4180" w:type="dxa"/>
            <w:tcBorders>
              <w:top w:val="nil"/>
              <w:left w:val="nil"/>
              <w:bottom w:val="nil"/>
              <w:right w:val="nil"/>
            </w:tcBorders>
            <w:shd w:val="clear" w:color="auto" w:fill="auto"/>
            <w:vAlign w:val="center"/>
            <w:hideMark/>
          </w:tcPr>
          <w:p w:rsidR="00B67C0D" w:rsidRPr="00376103" w:rsidRDefault="00B67C0D" w:rsidP="00A80A29">
            <w:pPr>
              <w:rPr>
                <w:rFonts w:ascii="Barlow" w:hAnsi="Barlow"/>
                <w:color w:val="000000"/>
                <w:sz w:val="20"/>
                <w:szCs w:val="20"/>
                <w:lang w:val="es-MX" w:eastAsia="es-MX"/>
              </w:rPr>
            </w:pPr>
            <w:r w:rsidRPr="00376103">
              <w:rPr>
                <w:rFonts w:ascii="Barlow" w:hAnsi="Barlow"/>
                <w:color w:val="000000"/>
                <w:sz w:val="20"/>
                <w:szCs w:val="20"/>
                <w:lang w:val="es-MX" w:eastAsia="es-MX"/>
              </w:rPr>
              <w:t>Variaciones de la Hacienda Pública/Pa</w:t>
            </w:r>
            <w:r w:rsidR="00FD4ED2" w:rsidRPr="00376103">
              <w:rPr>
                <w:rFonts w:ascii="Barlow" w:hAnsi="Barlow"/>
                <w:color w:val="000000"/>
                <w:sz w:val="20"/>
                <w:szCs w:val="20"/>
                <w:lang w:val="es-MX" w:eastAsia="es-MX"/>
              </w:rPr>
              <w:t>trimonio Neto del Ejercicio 201</w:t>
            </w:r>
            <w:r w:rsidR="007622B4" w:rsidRPr="00376103">
              <w:rPr>
                <w:rFonts w:ascii="Barlow" w:hAnsi="Barlow"/>
                <w:color w:val="000000"/>
                <w:sz w:val="20"/>
                <w:szCs w:val="20"/>
                <w:lang w:val="es-MX" w:eastAsia="es-MX"/>
              </w:rPr>
              <w:t>8</w:t>
            </w:r>
          </w:p>
        </w:tc>
        <w:tc>
          <w:tcPr>
            <w:tcW w:w="1647" w:type="dxa"/>
            <w:tcBorders>
              <w:top w:val="nil"/>
              <w:left w:val="nil"/>
              <w:bottom w:val="nil"/>
              <w:right w:val="nil"/>
            </w:tcBorders>
            <w:shd w:val="clear" w:color="auto" w:fill="auto"/>
            <w:noWrap/>
            <w:vAlign w:val="center"/>
            <w:hideMark/>
          </w:tcPr>
          <w:p w:rsidR="00B67C0D" w:rsidRPr="00376103" w:rsidRDefault="00B67C0D" w:rsidP="00A80A29">
            <w:pPr>
              <w:rPr>
                <w:rFonts w:ascii="Barlow" w:hAnsi="Barlow"/>
                <w:color w:val="000000"/>
                <w:sz w:val="20"/>
                <w:szCs w:val="20"/>
                <w:lang w:val="es-MX" w:eastAsia="es-MX"/>
              </w:rPr>
            </w:pPr>
          </w:p>
        </w:tc>
        <w:tc>
          <w:tcPr>
            <w:tcW w:w="1701" w:type="dxa"/>
            <w:tcBorders>
              <w:top w:val="nil"/>
              <w:left w:val="nil"/>
              <w:bottom w:val="nil"/>
              <w:right w:val="nil"/>
            </w:tcBorders>
            <w:shd w:val="clear" w:color="auto" w:fill="auto"/>
            <w:noWrap/>
            <w:vAlign w:val="center"/>
            <w:hideMark/>
          </w:tcPr>
          <w:p w:rsidR="00B67C0D" w:rsidRPr="00376103" w:rsidRDefault="00B67C0D" w:rsidP="00A80A29">
            <w:pPr>
              <w:rPr>
                <w:rFonts w:ascii="Barlow" w:hAnsi="Barlow"/>
                <w:color w:val="000000"/>
                <w:sz w:val="20"/>
                <w:szCs w:val="20"/>
                <w:lang w:val="es-MX" w:eastAsia="es-MX"/>
              </w:rPr>
            </w:pPr>
          </w:p>
        </w:tc>
        <w:tc>
          <w:tcPr>
            <w:tcW w:w="1717" w:type="dxa"/>
            <w:tcBorders>
              <w:top w:val="nil"/>
              <w:left w:val="nil"/>
              <w:bottom w:val="nil"/>
              <w:right w:val="nil"/>
            </w:tcBorders>
            <w:shd w:val="clear" w:color="auto" w:fill="auto"/>
            <w:noWrap/>
            <w:hideMark/>
          </w:tcPr>
          <w:p w:rsidR="00354B8F" w:rsidRPr="00376103" w:rsidRDefault="00E95F21" w:rsidP="007622B4">
            <w:pPr>
              <w:jc w:val="right"/>
              <w:rPr>
                <w:rFonts w:ascii="Barlow" w:hAnsi="Barlow" w:cs="Arial"/>
                <w:bCs/>
                <w:color w:val="000000"/>
                <w:sz w:val="20"/>
                <w:szCs w:val="20"/>
              </w:rPr>
            </w:pPr>
            <w:r>
              <w:rPr>
                <w:rFonts w:ascii="Barlow" w:hAnsi="Barlow" w:cs="Arial"/>
                <w:bCs/>
                <w:color w:val="000000"/>
                <w:sz w:val="20"/>
                <w:szCs w:val="20"/>
              </w:rPr>
              <w:t>7,834,738.26</w:t>
            </w:r>
          </w:p>
        </w:tc>
        <w:tc>
          <w:tcPr>
            <w:tcW w:w="2126" w:type="dxa"/>
            <w:tcBorders>
              <w:top w:val="nil"/>
              <w:left w:val="nil"/>
              <w:bottom w:val="nil"/>
              <w:right w:val="nil"/>
            </w:tcBorders>
            <w:shd w:val="clear" w:color="auto" w:fill="auto"/>
            <w:noWrap/>
            <w:vAlign w:val="center"/>
            <w:hideMark/>
          </w:tcPr>
          <w:p w:rsidR="00B67C0D" w:rsidRPr="00376103" w:rsidRDefault="00E95F21" w:rsidP="00A0317E">
            <w:pPr>
              <w:jc w:val="right"/>
              <w:rPr>
                <w:rFonts w:ascii="Barlow" w:hAnsi="Barlow"/>
                <w:color w:val="000000"/>
                <w:sz w:val="20"/>
                <w:szCs w:val="20"/>
                <w:lang w:val="es-MX" w:eastAsia="es-MX"/>
              </w:rPr>
            </w:pPr>
            <w:r>
              <w:rPr>
                <w:rFonts w:ascii="Barlow" w:hAnsi="Barlow" w:cs="Arial"/>
                <w:bCs/>
                <w:color w:val="000000"/>
                <w:sz w:val="20"/>
                <w:szCs w:val="20"/>
              </w:rPr>
              <w:t>7,834,738.26</w:t>
            </w:r>
          </w:p>
        </w:tc>
      </w:tr>
      <w:tr w:rsidR="00B67C0D" w:rsidRPr="00437E98" w:rsidTr="00A90294">
        <w:trPr>
          <w:trHeight w:val="105"/>
        </w:trPr>
        <w:tc>
          <w:tcPr>
            <w:tcW w:w="4180" w:type="dxa"/>
            <w:tcBorders>
              <w:top w:val="nil"/>
              <w:left w:val="nil"/>
              <w:bottom w:val="nil"/>
              <w:right w:val="nil"/>
            </w:tcBorders>
            <w:shd w:val="clear" w:color="auto" w:fill="auto"/>
            <w:vAlign w:val="center"/>
            <w:hideMark/>
          </w:tcPr>
          <w:p w:rsidR="00B67C0D" w:rsidRPr="00376103" w:rsidRDefault="00B67C0D" w:rsidP="00A80A29">
            <w:pPr>
              <w:rPr>
                <w:rFonts w:ascii="Barlow" w:hAnsi="Barlow"/>
                <w:color w:val="000000"/>
                <w:sz w:val="20"/>
                <w:szCs w:val="20"/>
                <w:lang w:val="es-MX" w:eastAsia="es-MX"/>
              </w:rPr>
            </w:pPr>
          </w:p>
        </w:tc>
        <w:tc>
          <w:tcPr>
            <w:tcW w:w="1647" w:type="dxa"/>
            <w:tcBorders>
              <w:top w:val="nil"/>
              <w:left w:val="nil"/>
              <w:bottom w:val="nil"/>
              <w:right w:val="nil"/>
            </w:tcBorders>
            <w:shd w:val="clear" w:color="auto" w:fill="auto"/>
            <w:noWrap/>
            <w:vAlign w:val="center"/>
            <w:hideMark/>
          </w:tcPr>
          <w:p w:rsidR="00B67C0D" w:rsidRPr="00376103" w:rsidRDefault="00B67C0D" w:rsidP="00A80A29">
            <w:pPr>
              <w:rPr>
                <w:rFonts w:ascii="Barlow" w:hAnsi="Barlow"/>
                <w:color w:val="000000"/>
                <w:sz w:val="20"/>
                <w:szCs w:val="20"/>
                <w:lang w:val="es-MX" w:eastAsia="es-MX"/>
              </w:rPr>
            </w:pPr>
          </w:p>
        </w:tc>
        <w:tc>
          <w:tcPr>
            <w:tcW w:w="1701" w:type="dxa"/>
            <w:tcBorders>
              <w:top w:val="nil"/>
              <w:left w:val="nil"/>
              <w:bottom w:val="nil"/>
              <w:right w:val="nil"/>
            </w:tcBorders>
            <w:shd w:val="clear" w:color="auto" w:fill="auto"/>
            <w:noWrap/>
            <w:vAlign w:val="center"/>
            <w:hideMark/>
          </w:tcPr>
          <w:p w:rsidR="00B67C0D" w:rsidRPr="00376103" w:rsidRDefault="00B67C0D" w:rsidP="00A80A29">
            <w:pPr>
              <w:rPr>
                <w:rFonts w:ascii="Barlow" w:hAnsi="Barlow"/>
                <w:color w:val="000000"/>
                <w:sz w:val="20"/>
                <w:szCs w:val="20"/>
                <w:lang w:val="es-MX" w:eastAsia="es-MX"/>
              </w:rPr>
            </w:pPr>
          </w:p>
        </w:tc>
        <w:tc>
          <w:tcPr>
            <w:tcW w:w="1717" w:type="dxa"/>
            <w:tcBorders>
              <w:top w:val="nil"/>
              <w:left w:val="nil"/>
              <w:bottom w:val="nil"/>
              <w:right w:val="nil"/>
            </w:tcBorders>
            <w:shd w:val="clear" w:color="auto" w:fill="auto"/>
            <w:noWrap/>
            <w:vAlign w:val="center"/>
            <w:hideMark/>
          </w:tcPr>
          <w:p w:rsidR="00B67C0D" w:rsidRPr="00376103" w:rsidRDefault="00B67C0D" w:rsidP="00FE4457">
            <w:pPr>
              <w:jc w:val="right"/>
              <w:rPr>
                <w:rFonts w:ascii="Barlow" w:hAnsi="Barlow"/>
                <w:color w:val="000000"/>
                <w:sz w:val="20"/>
                <w:szCs w:val="20"/>
                <w:lang w:val="es-MX" w:eastAsia="es-MX"/>
              </w:rPr>
            </w:pPr>
          </w:p>
        </w:tc>
        <w:tc>
          <w:tcPr>
            <w:tcW w:w="2126" w:type="dxa"/>
            <w:tcBorders>
              <w:top w:val="nil"/>
              <w:left w:val="nil"/>
              <w:bottom w:val="nil"/>
              <w:right w:val="nil"/>
            </w:tcBorders>
            <w:shd w:val="clear" w:color="auto" w:fill="auto"/>
            <w:noWrap/>
            <w:vAlign w:val="center"/>
            <w:hideMark/>
          </w:tcPr>
          <w:p w:rsidR="00B67C0D" w:rsidRPr="00376103" w:rsidRDefault="00B67C0D" w:rsidP="00A80A29">
            <w:pPr>
              <w:rPr>
                <w:rFonts w:ascii="Barlow" w:hAnsi="Barlow"/>
                <w:color w:val="000000"/>
                <w:sz w:val="20"/>
                <w:szCs w:val="20"/>
                <w:lang w:val="es-MX" w:eastAsia="es-MX"/>
              </w:rPr>
            </w:pPr>
          </w:p>
        </w:tc>
      </w:tr>
      <w:tr w:rsidR="00B67C0D" w:rsidRPr="00437E98" w:rsidTr="00A90294">
        <w:trPr>
          <w:trHeight w:val="481"/>
        </w:trPr>
        <w:tc>
          <w:tcPr>
            <w:tcW w:w="4180" w:type="dxa"/>
            <w:tcBorders>
              <w:top w:val="nil"/>
              <w:left w:val="nil"/>
              <w:bottom w:val="nil"/>
              <w:right w:val="nil"/>
            </w:tcBorders>
            <w:shd w:val="clear" w:color="auto" w:fill="auto"/>
            <w:vAlign w:val="center"/>
            <w:hideMark/>
          </w:tcPr>
          <w:p w:rsidR="00B67C0D" w:rsidRPr="00376103" w:rsidRDefault="00B67C0D" w:rsidP="00A80A29">
            <w:pPr>
              <w:rPr>
                <w:rFonts w:ascii="Barlow" w:hAnsi="Barlow"/>
                <w:color w:val="000000"/>
                <w:sz w:val="20"/>
                <w:szCs w:val="20"/>
                <w:lang w:val="es-MX" w:eastAsia="es-MX"/>
              </w:rPr>
            </w:pPr>
            <w:r w:rsidRPr="00376103">
              <w:rPr>
                <w:rFonts w:ascii="Barlow" w:hAnsi="Barlow"/>
                <w:color w:val="000000"/>
                <w:sz w:val="20"/>
                <w:szCs w:val="20"/>
                <w:lang w:val="es-MX" w:eastAsia="es-MX"/>
              </w:rPr>
              <w:t>Saldo Neto en la Hacienda Pública / Patrimonio 201</w:t>
            </w:r>
            <w:r w:rsidR="007622B4" w:rsidRPr="00376103">
              <w:rPr>
                <w:rFonts w:ascii="Barlow" w:hAnsi="Barlow"/>
                <w:color w:val="000000"/>
                <w:sz w:val="20"/>
                <w:szCs w:val="20"/>
                <w:lang w:val="es-MX" w:eastAsia="es-MX"/>
              </w:rPr>
              <w:t>8</w:t>
            </w:r>
          </w:p>
        </w:tc>
        <w:tc>
          <w:tcPr>
            <w:tcW w:w="1647" w:type="dxa"/>
            <w:tcBorders>
              <w:top w:val="nil"/>
              <w:left w:val="nil"/>
              <w:bottom w:val="nil"/>
              <w:right w:val="nil"/>
            </w:tcBorders>
            <w:shd w:val="clear" w:color="auto" w:fill="auto"/>
            <w:noWrap/>
            <w:vAlign w:val="center"/>
            <w:hideMark/>
          </w:tcPr>
          <w:p w:rsidR="00B67C0D" w:rsidRPr="00376103" w:rsidRDefault="00B67C0D" w:rsidP="00A80A29">
            <w:pPr>
              <w:jc w:val="right"/>
              <w:rPr>
                <w:rFonts w:ascii="Barlow" w:hAnsi="Barlow"/>
                <w:color w:val="000000"/>
                <w:sz w:val="20"/>
                <w:szCs w:val="20"/>
                <w:lang w:val="es-MX" w:eastAsia="es-MX"/>
              </w:rPr>
            </w:pPr>
            <w:r w:rsidRPr="00376103">
              <w:rPr>
                <w:rFonts w:ascii="Barlow" w:hAnsi="Barlow"/>
                <w:color w:val="000000"/>
                <w:sz w:val="20"/>
                <w:szCs w:val="20"/>
                <w:lang w:val="es-MX" w:eastAsia="es-MX"/>
              </w:rPr>
              <w:t>10,499,752.20</w:t>
            </w:r>
          </w:p>
        </w:tc>
        <w:tc>
          <w:tcPr>
            <w:tcW w:w="1701" w:type="dxa"/>
            <w:tcBorders>
              <w:top w:val="nil"/>
              <w:left w:val="nil"/>
              <w:bottom w:val="nil"/>
              <w:right w:val="nil"/>
            </w:tcBorders>
            <w:shd w:val="clear" w:color="auto" w:fill="auto"/>
            <w:noWrap/>
            <w:vAlign w:val="center"/>
            <w:hideMark/>
          </w:tcPr>
          <w:p w:rsidR="00B67C0D" w:rsidRPr="00376103" w:rsidRDefault="003F0F92" w:rsidP="00A80A29">
            <w:pPr>
              <w:jc w:val="right"/>
              <w:rPr>
                <w:rFonts w:ascii="Barlow" w:hAnsi="Barlow"/>
                <w:color w:val="000000"/>
                <w:sz w:val="20"/>
                <w:szCs w:val="20"/>
                <w:lang w:val="es-MX" w:eastAsia="es-MX"/>
              </w:rPr>
            </w:pPr>
            <w:r>
              <w:rPr>
                <w:rFonts w:ascii="Barlow" w:hAnsi="Barlow"/>
                <w:color w:val="000000"/>
                <w:sz w:val="20"/>
                <w:szCs w:val="20"/>
                <w:lang w:val="es-MX" w:eastAsia="es-MX"/>
              </w:rPr>
              <w:t>89,006,941.01</w:t>
            </w:r>
          </w:p>
        </w:tc>
        <w:tc>
          <w:tcPr>
            <w:tcW w:w="1717" w:type="dxa"/>
            <w:tcBorders>
              <w:top w:val="nil"/>
              <w:left w:val="nil"/>
              <w:bottom w:val="nil"/>
              <w:right w:val="nil"/>
            </w:tcBorders>
            <w:shd w:val="clear" w:color="auto" w:fill="auto"/>
            <w:noWrap/>
            <w:vAlign w:val="center"/>
            <w:hideMark/>
          </w:tcPr>
          <w:p w:rsidR="00B67C0D" w:rsidRPr="00376103" w:rsidRDefault="00E95F21" w:rsidP="007622B4">
            <w:pPr>
              <w:jc w:val="right"/>
              <w:rPr>
                <w:rFonts w:ascii="Barlow" w:hAnsi="Barlow"/>
                <w:color w:val="000000"/>
                <w:sz w:val="20"/>
                <w:szCs w:val="20"/>
                <w:lang w:val="es-MX" w:eastAsia="es-MX"/>
              </w:rPr>
            </w:pPr>
            <w:r>
              <w:rPr>
                <w:rFonts w:ascii="Barlow" w:hAnsi="Barlow" w:cs="Arial"/>
                <w:bCs/>
                <w:color w:val="000000"/>
                <w:sz w:val="20"/>
                <w:szCs w:val="20"/>
              </w:rPr>
              <w:t>7,834,738.26</w:t>
            </w:r>
          </w:p>
        </w:tc>
        <w:tc>
          <w:tcPr>
            <w:tcW w:w="2126" w:type="dxa"/>
            <w:tcBorders>
              <w:top w:val="nil"/>
              <w:left w:val="nil"/>
              <w:bottom w:val="nil"/>
              <w:right w:val="nil"/>
            </w:tcBorders>
            <w:shd w:val="clear" w:color="auto" w:fill="auto"/>
            <w:noWrap/>
            <w:vAlign w:val="center"/>
            <w:hideMark/>
          </w:tcPr>
          <w:p w:rsidR="006C6E5E" w:rsidRPr="00376103" w:rsidRDefault="00E95F21" w:rsidP="00F03545">
            <w:pPr>
              <w:jc w:val="right"/>
              <w:rPr>
                <w:rFonts w:ascii="Barlow" w:hAnsi="Barlow"/>
                <w:color w:val="000000"/>
                <w:sz w:val="20"/>
                <w:szCs w:val="20"/>
                <w:lang w:val="es-MX" w:eastAsia="es-MX"/>
              </w:rPr>
            </w:pPr>
            <w:r>
              <w:rPr>
                <w:rFonts w:ascii="Barlow" w:hAnsi="Barlow"/>
                <w:color w:val="000000"/>
                <w:sz w:val="20"/>
                <w:szCs w:val="20"/>
                <w:lang w:val="es-MX" w:eastAsia="es-MX"/>
              </w:rPr>
              <w:t>107,341,431.50</w:t>
            </w:r>
          </w:p>
        </w:tc>
      </w:tr>
    </w:tbl>
    <w:p w:rsidR="00D708C7" w:rsidRDefault="00D708C7" w:rsidP="008A74AA">
      <w:pPr>
        <w:ind w:left="360"/>
        <w:jc w:val="both"/>
        <w:rPr>
          <w:rFonts w:asciiTheme="minorHAnsi" w:hAnsiTheme="minorHAnsi"/>
          <w:b/>
          <w:sz w:val="20"/>
          <w:szCs w:val="20"/>
        </w:rPr>
      </w:pPr>
    </w:p>
    <w:p w:rsidR="004D1210" w:rsidRDefault="004D1210" w:rsidP="008A74AA">
      <w:pPr>
        <w:ind w:left="360"/>
        <w:jc w:val="both"/>
        <w:rPr>
          <w:rFonts w:asciiTheme="minorHAnsi" w:hAnsiTheme="minorHAnsi"/>
          <w:b/>
          <w:sz w:val="20"/>
          <w:szCs w:val="20"/>
        </w:rPr>
      </w:pPr>
    </w:p>
    <w:p w:rsidR="004D1210" w:rsidRDefault="004D1210" w:rsidP="008A74AA">
      <w:pPr>
        <w:ind w:left="360"/>
        <w:jc w:val="both"/>
        <w:rPr>
          <w:rFonts w:asciiTheme="minorHAnsi" w:hAnsiTheme="minorHAnsi"/>
          <w:b/>
          <w:sz w:val="20"/>
          <w:szCs w:val="20"/>
        </w:rPr>
      </w:pPr>
    </w:p>
    <w:p w:rsidR="00354B8F" w:rsidRDefault="00354B8F" w:rsidP="008A74AA">
      <w:pPr>
        <w:ind w:left="360"/>
        <w:jc w:val="both"/>
        <w:rPr>
          <w:rFonts w:asciiTheme="minorHAnsi" w:hAnsiTheme="minorHAnsi"/>
          <w:b/>
          <w:sz w:val="20"/>
          <w:szCs w:val="20"/>
        </w:rPr>
      </w:pPr>
    </w:p>
    <w:p w:rsidR="003F0F92" w:rsidRDefault="003F0F92" w:rsidP="008A74AA">
      <w:pPr>
        <w:ind w:left="360"/>
        <w:jc w:val="both"/>
        <w:rPr>
          <w:rFonts w:asciiTheme="minorHAnsi" w:hAnsiTheme="minorHAnsi"/>
          <w:b/>
          <w:sz w:val="20"/>
          <w:szCs w:val="20"/>
        </w:rPr>
      </w:pPr>
    </w:p>
    <w:p w:rsidR="003F0F92" w:rsidRDefault="003F0F92" w:rsidP="008A74AA">
      <w:pPr>
        <w:ind w:left="360"/>
        <w:jc w:val="both"/>
        <w:rPr>
          <w:rFonts w:asciiTheme="minorHAnsi" w:hAnsiTheme="minorHAnsi"/>
          <w:b/>
          <w:sz w:val="20"/>
          <w:szCs w:val="20"/>
        </w:rPr>
      </w:pPr>
    </w:p>
    <w:p w:rsidR="004224E7" w:rsidRDefault="004224E7" w:rsidP="008A74AA">
      <w:pPr>
        <w:ind w:left="360"/>
        <w:jc w:val="both"/>
        <w:rPr>
          <w:rFonts w:asciiTheme="minorHAnsi" w:hAnsiTheme="minorHAnsi"/>
          <w:b/>
          <w:sz w:val="20"/>
          <w:szCs w:val="20"/>
        </w:rPr>
      </w:pPr>
    </w:p>
    <w:p w:rsidR="004224E7" w:rsidRDefault="004224E7" w:rsidP="008A74AA">
      <w:pPr>
        <w:ind w:left="360"/>
        <w:jc w:val="both"/>
        <w:rPr>
          <w:rFonts w:asciiTheme="minorHAnsi" w:hAnsiTheme="minorHAnsi"/>
          <w:b/>
          <w:sz w:val="20"/>
          <w:szCs w:val="20"/>
        </w:rPr>
      </w:pPr>
    </w:p>
    <w:p w:rsidR="00376103" w:rsidRDefault="00376103" w:rsidP="008A74AA">
      <w:pPr>
        <w:ind w:left="360"/>
        <w:jc w:val="both"/>
        <w:rPr>
          <w:rFonts w:asciiTheme="minorHAnsi" w:hAnsiTheme="minorHAnsi"/>
          <w:b/>
          <w:sz w:val="20"/>
          <w:szCs w:val="20"/>
        </w:rPr>
      </w:pPr>
    </w:p>
    <w:p w:rsidR="00FE5FBD" w:rsidRPr="00376103" w:rsidRDefault="00FE5FBD" w:rsidP="00595C13">
      <w:pPr>
        <w:pStyle w:val="Prrafodelista"/>
        <w:numPr>
          <w:ilvl w:val="0"/>
          <w:numId w:val="8"/>
        </w:numPr>
        <w:jc w:val="both"/>
        <w:rPr>
          <w:rFonts w:ascii="Barlow" w:hAnsi="Barlow"/>
          <w:b/>
          <w:sz w:val="20"/>
          <w:szCs w:val="20"/>
        </w:rPr>
      </w:pPr>
      <w:r w:rsidRPr="00376103">
        <w:rPr>
          <w:rFonts w:ascii="Barlow" w:hAnsi="Barlow"/>
          <w:b/>
          <w:sz w:val="20"/>
          <w:szCs w:val="20"/>
        </w:rPr>
        <w:t xml:space="preserve">NOTAS AL ESTADO DE FLUJOS DE EFECTIVO </w:t>
      </w:r>
    </w:p>
    <w:p w:rsidR="00595C13" w:rsidRPr="00376103" w:rsidRDefault="00595C13" w:rsidP="00595C13">
      <w:pPr>
        <w:pStyle w:val="Prrafodelista"/>
        <w:ind w:left="1080"/>
        <w:jc w:val="both"/>
        <w:rPr>
          <w:rFonts w:ascii="Barlow" w:hAnsi="Barlow"/>
          <w:b/>
          <w:sz w:val="20"/>
          <w:szCs w:val="20"/>
        </w:rPr>
      </w:pPr>
    </w:p>
    <w:p w:rsidR="002813F0" w:rsidRPr="00376103" w:rsidRDefault="00FE5FBD" w:rsidP="00FE5FBD">
      <w:pPr>
        <w:jc w:val="both"/>
        <w:rPr>
          <w:rFonts w:ascii="Barlow" w:hAnsi="Barlow"/>
          <w:b/>
          <w:sz w:val="20"/>
          <w:szCs w:val="20"/>
        </w:rPr>
      </w:pPr>
      <w:r w:rsidRPr="00376103">
        <w:rPr>
          <w:rFonts w:ascii="Barlow" w:hAnsi="Barlow"/>
          <w:b/>
          <w:sz w:val="20"/>
          <w:szCs w:val="20"/>
        </w:rPr>
        <w:t>1. Efectivo y Equivalentes</w:t>
      </w:r>
    </w:p>
    <w:p w:rsidR="00145C28" w:rsidRPr="00376103" w:rsidRDefault="00145C28" w:rsidP="00FE5FBD">
      <w:pPr>
        <w:jc w:val="both"/>
        <w:rPr>
          <w:rFonts w:ascii="Barlow" w:hAnsi="Barlow"/>
          <w:b/>
          <w:sz w:val="20"/>
          <w:szCs w:val="20"/>
        </w:rPr>
      </w:pPr>
    </w:p>
    <w:tbl>
      <w:tblPr>
        <w:tblpPr w:leftFromText="141" w:rightFromText="141" w:vertAnchor="text" w:horzAnchor="page" w:tblpX="1712" w:tblpY="193"/>
        <w:tblW w:w="0" w:type="auto"/>
        <w:tblLook w:val="01E0"/>
      </w:tblPr>
      <w:tblGrid>
        <w:gridCol w:w="4644"/>
        <w:gridCol w:w="2268"/>
        <w:gridCol w:w="2268"/>
      </w:tblGrid>
      <w:tr w:rsidR="0034384F" w:rsidRPr="00376103" w:rsidTr="00A42B13">
        <w:tc>
          <w:tcPr>
            <w:tcW w:w="4644" w:type="dxa"/>
          </w:tcPr>
          <w:p w:rsidR="0034384F" w:rsidRPr="00376103" w:rsidRDefault="0034384F" w:rsidP="00376103">
            <w:pPr>
              <w:spacing w:line="360" w:lineRule="auto"/>
              <w:jc w:val="both"/>
              <w:rPr>
                <w:rFonts w:ascii="Barlow" w:hAnsi="Barlow"/>
                <w:sz w:val="20"/>
                <w:szCs w:val="20"/>
              </w:rPr>
            </w:pPr>
          </w:p>
        </w:tc>
        <w:tc>
          <w:tcPr>
            <w:tcW w:w="2268" w:type="dxa"/>
          </w:tcPr>
          <w:p w:rsidR="0034384F" w:rsidRPr="00376103" w:rsidRDefault="0034384F" w:rsidP="00376103">
            <w:pPr>
              <w:spacing w:line="360" w:lineRule="auto"/>
              <w:jc w:val="both"/>
              <w:rPr>
                <w:rFonts w:ascii="Barlow" w:hAnsi="Barlow"/>
                <w:sz w:val="20"/>
                <w:szCs w:val="20"/>
              </w:rPr>
            </w:pPr>
            <w:r w:rsidRPr="00376103">
              <w:rPr>
                <w:rFonts w:ascii="Barlow" w:hAnsi="Barlow"/>
                <w:sz w:val="20"/>
                <w:szCs w:val="20"/>
              </w:rPr>
              <w:t>Período Actual</w:t>
            </w:r>
          </w:p>
        </w:tc>
        <w:tc>
          <w:tcPr>
            <w:tcW w:w="2268" w:type="dxa"/>
          </w:tcPr>
          <w:p w:rsidR="0034384F" w:rsidRPr="00376103" w:rsidRDefault="0034384F" w:rsidP="00376103">
            <w:pPr>
              <w:spacing w:line="360" w:lineRule="auto"/>
              <w:jc w:val="both"/>
              <w:rPr>
                <w:rFonts w:ascii="Barlow" w:hAnsi="Barlow"/>
                <w:sz w:val="20"/>
                <w:szCs w:val="20"/>
              </w:rPr>
            </w:pPr>
            <w:r w:rsidRPr="00376103">
              <w:rPr>
                <w:rFonts w:ascii="Barlow" w:hAnsi="Barlow"/>
                <w:sz w:val="20"/>
                <w:szCs w:val="20"/>
              </w:rPr>
              <w:t>Período Anterior</w:t>
            </w:r>
          </w:p>
        </w:tc>
      </w:tr>
      <w:tr w:rsidR="005C4877" w:rsidRPr="00376103" w:rsidTr="00A42B13">
        <w:tc>
          <w:tcPr>
            <w:tcW w:w="4644" w:type="dxa"/>
          </w:tcPr>
          <w:p w:rsidR="005C4877" w:rsidRPr="00376103" w:rsidRDefault="005C4877" w:rsidP="00376103">
            <w:pPr>
              <w:spacing w:line="360" w:lineRule="auto"/>
              <w:jc w:val="both"/>
              <w:rPr>
                <w:rFonts w:ascii="Barlow" w:hAnsi="Barlow"/>
                <w:sz w:val="20"/>
                <w:szCs w:val="20"/>
              </w:rPr>
            </w:pPr>
            <w:r w:rsidRPr="00376103">
              <w:rPr>
                <w:rFonts w:ascii="Barlow" w:hAnsi="Barlow"/>
                <w:sz w:val="20"/>
                <w:szCs w:val="20"/>
              </w:rPr>
              <w:t>Efectivo en Bancos – Tesorería</w:t>
            </w:r>
          </w:p>
        </w:tc>
        <w:tc>
          <w:tcPr>
            <w:tcW w:w="2268" w:type="dxa"/>
          </w:tcPr>
          <w:p w:rsidR="005C4877" w:rsidRPr="00376103" w:rsidRDefault="00E95F21" w:rsidP="00376103">
            <w:pPr>
              <w:spacing w:line="360" w:lineRule="auto"/>
              <w:jc w:val="right"/>
              <w:rPr>
                <w:rFonts w:ascii="Barlow" w:hAnsi="Barlow" w:cs="Arial"/>
                <w:b/>
                <w:bCs/>
                <w:color w:val="000000"/>
                <w:sz w:val="20"/>
                <w:szCs w:val="20"/>
              </w:rPr>
            </w:pPr>
            <w:r>
              <w:rPr>
                <w:rFonts w:ascii="Barlow" w:hAnsi="Barlow" w:cs="Arial"/>
                <w:b/>
                <w:bCs/>
                <w:color w:val="000000"/>
                <w:sz w:val="20"/>
                <w:szCs w:val="20"/>
              </w:rPr>
              <w:t>45,287,438.24</w:t>
            </w:r>
          </w:p>
        </w:tc>
        <w:tc>
          <w:tcPr>
            <w:tcW w:w="2268" w:type="dxa"/>
          </w:tcPr>
          <w:p w:rsidR="00E213B7" w:rsidRPr="00376103" w:rsidRDefault="00E95F21" w:rsidP="00376103">
            <w:pPr>
              <w:spacing w:line="360" w:lineRule="auto"/>
              <w:jc w:val="right"/>
              <w:rPr>
                <w:rFonts w:ascii="Barlow" w:hAnsi="Barlow" w:cs="Arial"/>
                <w:b/>
                <w:bCs/>
                <w:color w:val="000000"/>
                <w:sz w:val="20"/>
                <w:szCs w:val="20"/>
              </w:rPr>
            </w:pPr>
            <w:r>
              <w:rPr>
                <w:rFonts w:ascii="Barlow" w:hAnsi="Barlow" w:cs="Arial"/>
                <w:b/>
                <w:bCs/>
                <w:color w:val="000000"/>
                <w:sz w:val="20"/>
                <w:szCs w:val="20"/>
              </w:rPr>
              <w:t>43,237,833.36</w:t>
            </w:r>
          </w:p>
        </w:tc>
      </w:tr>
      <w:tr w:rsidR="005C4877" w:rsidRPr="00376103" w:rsidTr="00A42B13">
        <w:tc>
          <w:tcPr>
            <w:tcW w:w="4644" w:type="dxa"/>
          </w:tcPr>
          <w:p w:rsidR="005C4877" w:rsidRPr="00376103" w:rsidRDefault="005C4877" w:rsidP="00376103">
            <w:pPr>
              <w:spacing w:line="360" w:lineRule="auto"/>
              <w:jc w:val="both"/>
              <w:rPr>
                <w:rFonts w:ascii="Barlow" w:hAnsi="Barlow"/>
                <w:sz w:val="20"/>
                <w:szCs w:val="20"/>
              </w:rPr>
            </w:pPr>
            <w:r w:rsidRPr="00376103">
              <w:rPr>
                <w:rFonts w:ascii="Barlow" w:hAnsi="Barlow"/>
                <w:sz w:val="20"/>
                <w:szCs w:val="20"/>
              </w:rPr>
              <w:t>Efectivo en Bancos – Dependencias</w:t>
            </w:r>
          </w:p>
        </w:tc>
        <w:tc>
          <w:tcPr>
            <w:tcW w:w="2268"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c>
          <w:tcPr>
            <w:tcW w:w="2268"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r>
      <w:tr w:rsidR="005C4877" w:rsidRPr="00376103" w:rsidTr="00A42B13">
        <w:tc>
          <w:tcPr>
            <w:tcW w:w="4644" w:type="dxa"/>
          </w:tcPr>
          <w:p w:rsidR="005C4877" w:rsidRPr="00376103" w:rsidRDefault="005C4877" w:rsidP="00376103">
            <w:pPr>
              <w:spacing w:line="360" w:lineRule="auto"/>
              <w:jc w:val="both"/>
              <w:rPr>
                <w:rFonts w:ascii="Barlow" w:hAnsi="Barlow"/>
                <w:sz w:val="20"/>
                <w:szCs w:val="20"/>
              </w:rPr>
            </w:pPr>
            <w:r w:rsidRPr="00376103">
              <w:rPr>
                <w:rFonts w:ascii="Barlow" w:hAnsi="Barlow"/>
                <w:sz w:val="20"/>
                <w:szCs w:val="20"/>
              </w:rPr>
              <w:t>Inversiones Temporales (hasta 3 meses)</w:t>
            </w:r>
          </w:p>
        </w:tc>
        <w:tc>
          <w:tcPr>
            <w:tcW w:w="2268"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c>
          <w:tcPr>
            <w:tcW w:w="2268"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r>
      <w:tr w:rsidR="005C4877" w:rsidRPr="00376103" w:rsidTr="00A42B13">
        <w:tc>
          <w:tcPr>
            <w:tcW w:w="4644" w:type="dxa"/>
          </w:tcPr>
          <w:p w:rsidR="005C4877" w:rsidRPr="00376103" w:rsidRDefault="005C4877" w:rsidP="00376103">
            <w:pPr>
              <w:spacing w:line="360" w:lineRule="auto"/>
              <w:jc w:val="both"/>
              <w:rPr>
                <w:rFonts w:ascii="Barlow" w:hAnsi="Barlow"/>
                <w:sz w:val="20"/>
                <w:szCs w:val="20"/>
              </w:rPr>
            </w:pPr>
            <w:r w:rsidRPr="00376103">
              <w:rPr>
                <w:rFonts w:ascii="Barlow" w:hAnsi="Barlow"/>
                <w:sz w:val="20"/>
                <w:szCs w:val="20"/>
              </w:rPr>
              <w:t>Fondos con afectación especifica</w:t>
            </w:r>
          </w:p>
        </w:tc>
        <w:tc>
          <w:tcPr>
            <w:tcW w:w="2268"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c>
          <w:tcPr>
            <w:tcW w:w="2268"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r>
      <w:tr w:rsidR="005C4877" w:rsidRPr="00376103" w:rsidTr="00A42B13">
        <w:tc>
          <w:tcPr>
            <w:tcW w:w="4644" w:type="dxa"/>
          </w:tcPr>
          <w:p w:rsidR="005C4877" w:rsidRPr="00376103" w:rsidRDefault="005C4877" w:rsidP="00376103">
            <w:pPr>
              <w:spacing w:line="360" w:lineRule="auto"/>
              <w:jc w:val="both"/>
              <w:rPr>
                <w:rFonts w:ascii="Barlow" w:hAnsi="Barlow"/>
                <w:sz w:val="20"/>
                <w:szCs w:val="20"/>
              </w:rPr>
            </w:pPr>
            <w:r w:rsidRPr="00376103">
              <w:rPr>
                <w:rFonts w:ascii="Barlow" w:hAnsi="Barlow"/>
                <w:sz w:val="20"/>
                <w:szCs w:val="20"/>
              </w:rPr>
              <w:t>Depósitos de Fondos de Terceros y otros</w:t>
            </w:r>
          </w:p>
        </w:tc>
        <w:tc>
          <w:tcPr>
            <w:tcW w:w="2268"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c>
          <w:tcPr>
            <w:tcW w:w="2268" w:type="dxa"/>
          </w:tcPr>
          <w:p w:rsidR="005C4877" w:rsidRPr="00376103" w:rsidRDefault="005C4877" w:rsidP="00376103">
            <w:pPr>
              <w:spacing w:line="360" w:lineRule="auto"/>
              <w:jc w:val="right"/>
              <w:rPr>
                <w:rFonts w:ascii="Barlow" w:hAnsi="Barlow"/>
                <w:sz w:val="20"/>
                <w:szCs w:val="20"/>
              </w:rPr>
            </w:pPr>
            <w:r w:rsidRPr="00376103">
              <w:rPr>
                <w:rFonts w:ascii="Barlow" w:hAnsi="Barlow"/>
                <w:sz w:val="20"/>
                <w:szCs w:val="20"/>
              </w:rPr>
              <w:t>0.00</w:t>
            </w:r>
          </w:p>
        </w:tc>
      </w:tr>
      <w:tr w:rsidR="005C6A2B" w:rsidRPr="00376103" w:rsidTr="00A42B13">
        <w:trPr>
          <w:trHeight w:val="434"/>
        </w:trPr>
        <w:tc>
          <w:tcPr>
            <w:tcW w:w="4644" w:type="dxa"/>
          </w:tcPr>
          <w:p w:rsidR="005C6A2B" w:rsidRPr="00376103" w:rsidRDefault="005C6A2B" w:rsidP="005C6A2B">
            <w:pPr>
              <w:spacing w:line="360" w:lineRule="auto"/>
              <w:jc w:val="right"/>
              <w:rPr>
                <w:rFonts w:ascii="Barlow" w:hAnsi="Barlow"/>
                <w:sz w:val="20"/>
                <w:szCs w:val="20"/>
              </w:rPr>
            </w:pPr>
            <w:r w:rsidRPr="00376103">
              <w:rPr>
                <w:rFonts w:ascii="Barlow" w:hAnsi="Barlow"/>
                <w:sz w:val="20"/>
                <w:szCs w:val="20"/>
              </w:rPr>
              <w:t>Total de Efectivo y Equivalentes</w:t>
            </w:r>
          </w:p>
        </w:tc>
        <w:tc>
          <w:tcPr>
            <w:tcW w:w="2268" w:type="dxa"/>
          </w:tcPr>
          <w:p w:rsidR="005C6A2B" w:rsidRPr="00376103" w:rsidRDefault="00E95F21" w:rsidP="005C6A2B">
            <w:pPr>
              <w:spacing w:line="360" w:lineRule="auto"/>
              <w:jc w:val="right"/>
              <w:rPr>
                <w:rFonts w:ascii="Barlow" w:hAnsi="Barlow" w:cs="Arial"/>
                <w:b/>
                <w:bCs/>
                <w:color w:val="000000"/>
                <w:sz w:val="20"/>
                <w:szCs w:val="20"/>
              </w:rPr>
            </w:pPr>
            <w:r>
              <w:rPr>
                <w:rFonts w:ascii="Barlow" w:hAnsi="Barlow" w:cs="Arial"/>
                <w:b/>
                <w:bCs/>
                <w:color w:val="000000"/>
                <w:sz w:val="20"/>
                <w:szCs w:val="20"/>
              </w:rPr>
              <w:t>45,287,438.24</w:t>
            </w:r>
          </w:p>
        </w:tc>
        <w:tc>
          <w:tcPr>
            <w:tcW w:w="2268" w:type="dxa"/>
          </w:tcPr>
          <w:p w:rsidR="005C6A2B" w:rsidRPr="00376103" w:rsidRDefault="00E95F21" w:rsidP="005C6A2B">
            <w:pPr>
              <w:spacing w:line="360" w:lineRule="auto"/>
              <w:jc w:val="right"/>
              <w:rPr>
                <w:rFonts w:ascii="Barlow" w:hAnsi="Barlow" w:cs="Arial"/>
                <w:b/>
                <w:bCs/>
                <w:color w:val="000000"/>
                <w:sz w:val="20"/>
                <w:szCs w:val="20"/>
              </w:rPr>
            </w:pPr>
            <w:r>
              <w:rPr>
                <w:rFonts w:ascii="Barlow" w:hAnsi="Barlow" w:cs="Arial"/>
                <w:b/>
                <w:bCs/>
                <w:color w:val="000000"/>
                <w:sz w:val="20"/>
                <w:szCs w:val="20"/>
              </w:rPr>
              <w:t>43,237,833.36</w:t>
            </w:r>
          </w:p>
        </w:tc>
      </w:tr>
    </w:tbl>
    <w:p w:rsidR="00FE5FBD" w:rsidRPr="00376103" w:rsidRDefault="00FE5FBD" w:rsidP="00FE5FBD">
      <w:pPr>
        <w:ind w:left="360"/>
        <w:jc w:val="both"/>
        <w:rPr>
          <w:rFonts w:ascii="Barlow" w:hAnsi="Barlow"/>
          <w:sz w:val="20"/>
          <w:szCs w:val="20"/>
        </w:rPr>
      </w:pPr>
    </w:p>
    <w:p w:rsidR="00FE5FBD" w:rsidRPr="00376103" w:rsidRDefault="00FE5FBD" w:rsidP="00FE5FBD">
      <w:pPr>
        <w:ind w:left="360"/>
        <w:jc w:val="both"/>
        <w:rPr>
          <w:rFonts w:ascii="Barlow" w:hAnsi="Barlow"/>
          <w:sz w:val="20"/>
          <w:szCs w:val="20"/>
        </w:rPr>
      </w:pPr>
    </w:p>
    <w:p w:rsidR="00685256" w:rsidRPr="00376103" w:rsidRDefault="00685256" w:rsidP="00FE5FBD">
      <w:pPr>
        <w:jc w:val="both"/>
        <w:rPr>
          <w:rFonts w:ascii="Barlow" w:hAnsi="Barlow"/>
          <w:b/>
          <w:sz w:val="20"/>
          <w:szCs w:val="20"/>
        </w:rPr>
      </w:pPr>
    </w:p>
    <w:p w:rsidR="00685256" w:rsidRPr="00376103" w:rsidRDefault="00685256" w:rsidP="00FE5FBD">
      <w:pPr>
        <w:jc w:val="both"/>
        <w:rPr>
          <w:rFonts w:ascii="Barlow" w:hAnsi="Barlow"/>
          <w:b/>
          <w:sz w:val="20"/>
          <w:szCs w:val="20"/>
        </w:rPr>
      </w:pPr>
    </w:p>
    <w:p w:rsidR="00685256" w:rsidRPr="00376103" w:rsidRDefault="00685256" w:rsidP="00FE5FBD">
      <w:pPr>
        <w:jc w:val="both"/>
        <w:rPr>
          <w:rFonts w:ascii="Barlow" w:hAnsi="Barlow"/>
          <w:b/>
          <w:sz w:val="20"/>
          <w:szCs w:val="20"/>
        </w:rPr>
      </w:pPr>
    </w:p>
    <w:p w:rsidR="00685256" w:rsidRPr="00376103" w:rsidRDefault="00685256" w:rsidP="00FE5FBD">
      <w:pPr>
        <w:jc w:val="both"/>
        <w:rPr>
          <w:rFonts w:ascii="Barlow" w:hAnsi="Barlow"/>
          <w:b/>
          <w:sz w:val="20"/>
          <w:szCs w:val="20"/>
        </w:rPr>
      </w:pPr>
    </w:p>
    <w:p w:rsidR="0041510C" w:rsidRPr="00376103" w:rsidRDefault="0041510C" w:rsidP="00FE5FBD">
      <w:pPr>
        <w:jc w:val="both"/>
        <w:rPr>
          <w:rFonts w:ascii="Barlow" w:hAnsi="Barlow"/>
          <w:b/>
          <w:sz w:val="20"/>
          <w:szCs w:val="20"/>
        </w:rPr>
      </w:pPr>
    </w:p>
    <w:p w:rsidR="0041510C" w:rsidRPr="00376103" w:rsidRDefault="0041510C" w:rsidP="00FE5FBD">
      <w:pPr>
        <w:jc w:val="both"/>
        <w:rPr>
          <w:rFonts w:ascii="Barlow" w:hAnsi="Barlow"/>
          <w:b/>
          <w:sz w:val="20"/>
          <w:szCs w:val="20"/>
        </w:rPr>
      </w:pPr>
    </w:p>
    <w:p w:rsidR="00A90294" w:rsidRDefault="00A90294" w:rsidP="00FE5FBD">
      <w:pPr>
        <w:jc w:val="both"/>
        <w:rPr>
          <w:rFonts w:ascii="Calibri" w:hAnsi="Calibri"/>
          <w:b/>
          <w:sz w:val="20"/>
          <w:szCs w:val="20"/>
        </w:rPr>
      </w:pPr>
    </w:p>
    <w:p w:rsidR="002813F0" w:rsidRDefault="002813F0" w:rsidP="00FE5FBD">
      <w:pPr>
        <w:jc w:val="both"/>
        <w:rPr>
          <w:rFonts w:ascii="Calibri" w:hAnsi="Calibri"/>
          <w:b/>
          <w:sz w:val="20"/>
          <w:szCs w:val="20"/>
        </w:rPr>
      </w:pPr>
    </w:p>
    <w:p w:rsidR="00CC1648" w:rsidRDefault="00CC1648" w:rsidP="00FE5FBD">
      <w:pPr>
        <w:jc w:val="both"/>
        <w:rPr>
          <w:rFonts w:ascii="Calibri" w:hAnsi="Calibri"/>
          <w:b/>
          <w:sz w:val="20"/>
          <w:szCs w:val="20"/>
        </w:rPr>
      </w:pPr>
    </w:p>
    <w:p w:rsidR="00376103" w:rsidRDefault="00376103" w:rsidP="007B31DE">
      <w:pPr>
        <w:jc w:val="both"/>
        <w:rPr>
          <w:rFonts w:ascii="Calibri" w:hAnsi="Calibri"/>
          <w:b/>
          <w:sz w:val="20"/>
          <w:szCs w:val="20"/>
        </w:rPr>
      </w:pPr>
    </w:p>
    <w:p w:rsidR="00376103" w:rsidRDefault="00376103" w:rsidP="007B31DE">
      <w:pPr>
        <w:jc w:val="both"/>
        <w:rPr>
          <w:rFonts w:ascii="Calibri" w:hAnsi="Calibri"/>
          <w:b/>
          <w:sz w:val="20"/>
          <w:szCs w:val="20"/>
        </w:rPr>
      </w:pPr>
    </w:p>
    <w:p w:rsidR="00376103" w:rsidRDefault="00376103" w:rsidP="007B31DE">
      <w:pPr>
        <w:jc w:val="both"/>
        <w:rPr>
          <w:rFonts w:ascii="Calibri" w:hAnsi="Calibri"/>
          <w:b/>
          <w:sz w:val="20"/>
          <w:szCs w:val="20"/>
        </w:rPr>
      </w:pPr>
    </w:p>
    <w:p w:rsidR="00376103" w:rsidRDefault="00376103" w:rsidP="007B31DE">
      <w:pPr>
        <w:jc w:val="both"/>
        <w:rPr>
          <w:rFonts w:ascii="Calibri" w:hAnsi="Calibri"/>
          <w:b/>
          <w:sz w:val="20"/>
          <w:szCs w:val="20"/>
        </w:rPr>
      </w:pPr>
    </w:p>
    <w:p w:rsidR="007B31DE" w:rsidRPr="005C6A2B" w:rsidRDefault="007B31DE" w:rsidP="007B31DE">
      <w:pPr>
        <w:jc w:val="both"/>
        <w:rPr>
          <w:rFonts w:ascii="Barlow" w:hAnsi="Barlow"/>
          <w:b/>
          <w:sz w:val="20"/>
          <w:szCs w:val="20"/>
        </w:rPr>
      </w:pPr>
      <w:r w:rsidRPr="005C6A2B">
        <w:rPr>
          <w:rFonts w:ascii="Barlow" w:hAnsi="Barlow"/>
          <w:b/>
          <w:sz w:val="20"/>
          <w:szCs w:val="20"/>
        </w:rPr>
        <w:t>2</w:t>
      </w:r>
      <w:r w:rsidR="00376103" w:rsidRPr="005C6A2B">
        <w:rPr>
          <w:rFonts w:ascii="Barlow" w:hAnsi="Barlow"/>
          <w:b/>
          <w:sz w:val="20"/>
          <w:szCs w:val="20"/>
        </w:rPr>
        <w:t>.</w:t>
      </w:r>
      <w:r w:rsidRPr="005C6A2B">
        <w:rPr>
          <w:rFonts w:ascii="Barlow" w:hAnsi="Barlow"/>
          <w:b/>
          <w:sz w:val="20"/>
          <w:szCs w:val="20"/>
        </w:rPr>
        <w:t xml:space="preserve"> Adquisición de bienes muebles e inmuebles</w:t>
      </w:r>
    </w:p>
    <w:p w:rsidR="007B31DE" w:rsidRPr="005C6A2B" w:rsidRDefault="007B31DE" w:rsidP="007B31DE">
      <w:pPr>
        <w:jc w:val="both"/>
        <w:rPr>
          <w:rFonts w:ascii="Barlow" w:hAnsi="Barlow"/>
          <w:b/>
          <w:sz w:val="20"/>
          <w:szCs w:val="20"/>
        </w:rPr>
      </w:pPr>
    </w:p>
    <w:p w:rsidR="007B31DE" w:rsidRDefault="007B31DE" w:rsidP="007B31DE">
      <w:pPr>
        <w:jc w:val="both"/>
        <w:rPr>
          <w:rFonts w:ascii="Barlow" w:hAnsi="Barlow"/>
          <w:sz w:val="20"/>
          <w:szCs w:val="20"/>
        </w:rPr>
      </w:pPr>
      <w:r w:rsidRPr="00376103">
        <w:rPr>
          <w:rFonts w:ascii="Barlow" w:hAnsi="Barlow"/>
          <w:sz w:val="20"/>
          <w:szCs w:val="20"/>
        </w:rPr>
        <w:t>Las adquisiciones de bienes muebles, muebles e inmuebles efectuadas durante el período son las siguientes y fueron efectuados con recurso estatal</w:t>
      </w:r>
      <w:r w:rsidR="00E95F21">
        <w:rPr>
          <w:rFonts w:ascii="Barlow" w:hAnsi="Barlow"/>
          <w:sz w:val="20"/>
          <w:szCs w:val="20"/>
        </w:rPr>
        <w:t>.</w:t>
      </w:r>
    </w:p>
    <w:p w:rsidR="00E95F21" w:rsidRPr="00376103" w:rsidRDefault="00E95F21" w:rsidP="007B31DE">
      <w:pPr>
        <w:jc w:val="both"/>
        <w:rPr>
          <w:rFonts w:ascii="Barlow" w:hAnsi="Barlow"/>
          <w:sz w:val="20"/>
          <w:szCs w:val="20"/>
        </w:rPr>
      </w:pPr>
    </w:p>
    <w:p w:rsidR="00CC1648" w:rsidRPr="00376103" w:rsidRDefault="00CC1648" w:rsidP="007B31DE">
      <w:pPr>
        <w:jc w:val="both"/>
        <w:rPr>
          <w:rFonts w:ascii="Barlow" w:hAnsi="Barlow"/>
          <w:sz w:val="20"/>
          <w:szCs w:val="20"/>
        </w:rPr>
      </w:pPr>
    </w:p>
    <w:tbl>
      <w:tblPr>
        <w:tblW w:w="11996" w:type="dxa"/>
        <w:tblInd w:w="55" w:type="dxa"/>
        <w:tblCellMar>
          <w:left w:w="70" w:type="dxa"/>
          <w:right w:w="70" w:type="dxa"/>
        </w:tblCellMar>
        <w:tblLook w:val="04A0"/>
      </w:tblPr>
      <w:tblGrid>
        <w:gridCol w:w="9796"/>
        <w:gridCol w:w="2200"/>
      </w:tblGrid>
      <w:tr w:rsidR="00E95F21" w:rsidTr="00E95F21">
        <w:trPr>
          <w:trHeight w:val="270"/>
        </w:trPr>
        <w:tc>
          <w:tcPr>
            <w:tcW w:w="9796" w:type="dxa"/>
            <w:tcBorders>
              <w:top w:val="nil"/>
              <w:left w:val="nil"/>
              <w:bottom w:val="nil"/>
              <w:right w:val="nil"/>
            </w:tcBorders>
            <w:shd w:val="clear" w:color="000000" w:fill="FFFFFF"/>
            <w:noWrap/>
            <w:hideMark/>
          </w:tcPr>
          <w:p w:rsidR="00E95F21" w:rsidRPr="00E95F21" w:rsidRDefault="00E95F21">
            <w:pPr>
              <w:rPr>
                <w:rFonts w:ascii="Barlow" w:hAnsi="Barlow" w:cs="Tahoma"/>
                <w:b/>
                <w:color w:val="000000"/>
                <w:sz w:val="20"/>
                <w:szCs w:val="20"/>
              </w:rPr>
            </w:pPr>
            <w:r w:rsidRPr="00E95F21">
              <w:rPr>
                <w:rFonts w:ascii="Barlow" w:hAnsi="Barlow" w:cs="Tahoma"/>
                <w:b/>
                <w:color w:val="000000"/>
                <w:sz w:val="20"/>
                <w:szCs w:val="20"/>
              </w:rPr>
              <w:t>Bienes Muebles</w:t>
            </w:r>
          </w:p>
        </w:tc>
        <w:tc>
          <w:tcPr>
            <w:tcW w:w="2200" w:type="dxa"/>
            <w:tcBorders>
              <w:top w:val="nil"/>
              <w:left w:val="nil"/>
              <w:bottom w:val="nil"/>
              <w:right w:val="nil"/>
            </w:tcBorders>
            <w:shd w:val="clear" w:color="000000" w:fill="FFFFFF"/>
            <w:noWrap/>
            <w:hideMark/>
          </w:tcPr>
          <w:p w:rsidR="00E95F21" w:rsidRPr="00E95F21" w:rsidRDefault="00E95F21" w:rsidP="00E95F21">
            <w:pPr>
              <w:jc w:val="right"/>
              <w:rPr>
                <w:rFonts w:ascii="Barlow" w:hAnsi="Barlow" w:cs="Tahoma"/>
                <w:b/>
                <w:color w:val="000000"/>
                <w:sz w:val="20"/>
                <w:szCs w:val="20"/>
              </w:rPr>
            </w:pPr>
            <w:r>
              <w:rPr>
                <w:rFonts w:ascii="Barlow" w:hAnsi="Barlow" w:cs="Tahoma"/>
                <w:color w:val="000000"/>
                <w:sz w:val="20"/>
                <w:szCs w:val="20"/>
              </w:rPr>
              <w:t xml:space="preserve">                          </w:t>
            </w:r>
            <w:r w:rsidRPr="00E95F21">
              <w:rPr>
                <w:rFonts w:ascii="Barlow" w:hAnsi="Barlow" w:cs="Tahoma"/>
                <w:b/>
                <w:color w:val="000000"/>
                <w:sz w:val="20"/>
                <w:szCs w:val="20"/>
              </w:rPr>
              <w:t xml:space="preserve">185,772.84 </w:t>
            </w:r>
          </w:p>
        </w:tc>
      </w:tr>
      <w:tr w:rsidR="00E95F21" w:rsidTr="00E95F21">
        <w:trPr>
          <w:trHeight w:val="270"/>
        </w:trPr>
        <w:tc>
          <w:tcPr>
            <w:tcW w:w="9796" w:type="dxa"/>
            <w:tcBorders>
              <w:top w:val="nil"/>
              <w:left w:val="nil"/>
              <w:bottom w:val="nil"/>
              <w:right w:val="nil"/>
            </w:tcBorders>
            <w:shd w:val="clear" w:color="000000" w:fill="FFFFFF"/>
            <w:noWrap/>
            <w:hideMark/>
          </w:tcPr>
          <w:p w:rsidR="00E95F21" w:rsidRDefault="00E95F21">
            <w:pPr>
              <w:rPr>
                <w:rFonts w:ascii="Barlow" w:hAnsi="Barlow" w:cs="Tahoma"/>
                <w:color w:val="000000"/>
                <w:sz w:val="20"/>
                <w:szCs w:val="20"/>
              </w:rPr>
            </w:pPr>
            <w:r>
              <w:rPr>
                <w:rFonts w:ascii="Barlow" w:hAnsi="Barlow" w:cs="Tahoma"/>
                <w:color w:val="000000"/>
                <w:sz w:val="20"/>
                <w:szCs w:val="20"/>
              </w:rPr>
              <w:t>Mobiliario y Equipo de Administración</w:t>
            </w:r>
          </w:p>
        </w:tc>
        <w:tc>
          <w:tcPr>
            <w:tcW w:w="2200" w:type="dxa"/>
            <w:tcBorders>
              <w:top w:val="nil"/>
              <w:left w:val="nil"/>
              <w:bottom w:val="nil"/>
              <w:right w:val="nil"/>
            </w:tcBorders>
            <w:shd w:val="clear" w:color="000000" w:fill="FFFFFF"/>
            <w:noWrap/>
            <w:hideMark/>
          </w:tcPr>
          <w:p w:rsidR="00E95F21" w:rsidRDefault="00E95F21" w:rsidP="00E95F21">
            <w:pPr>
              <w:jc w:val="right"/>
              <w:rPr>
                <w:rFonts w:ascii="Barlow" w:hAnsi="Barlow" w:cs="Tahoma"/>
                <w:color w:val="000000"/>
                <w:sz w:val="20"/>
                <w:szCs w:val="20"/>
              </w:rPr>
            </w:pPr>
            <w:r>
              <w:rPr>
                <w:rFonts w:ascii="Barlow" w:hAnsi="Barlow" w:cs="Tahoma"/>
                <w:color w:val="000000"/>
                <w:sz w:val="20"/>
                <w:szCs w:val="20"/>
              </w:rPr>
              <w:t xml:space="preserve">                          154,429.64 </w:t>
            </w:r>
          </w:p>
        </w:tc>
      </w:tr>
      <w:tr w:rsidR="00E95F21" w:rsidTr="00E95F21">
        <w:trPr>
          <w:trHeight w:val="270"/>
        </w:trPr>
        <w:tc>
          <w:tcPr>
            <w:tcW w:w="9796" w:type="dxa"/>
            <w:tcBorders>
              <w:top w:val="nil"/>
              <w:left w:val="nil"/>
              <w:bottom w:val="nil"/>
              <w:right w:val="nil"/>
            </w:tcBorders>
            <w:shd w:val="clear" w:color="000000" w:fill="FFFFFF"/>
            <w:noWrap/>
            <w:hideMark/>
          </w:tcPr>
          <w:p w:rsidR="00E95F21" w:rsidRDefault="00E95F21">
            <w:pPr>
              <w:rPr>
                <w:rFonts w:ascii="Barlow" w:hAnsi="Barlow" w:cs="Tahoma"/>
                <w:color w:val="000000"/>
                <w:sz w:val="20"/>
                <w:szCs w:val="20"/>
              </w:rPr>
            </w:pPr>
            <w:r>
              <w:rPr>
                <w:rFonts w:ascii="Barlow" w:hAnsi="Barlow" w:cs="Tahoma"/>
                <w:color w:val="000000"/>
                <w:sz w:val="20"/>
                <w:szCs w:val="20"/>
              </w:rPr>
              <w:t>Mobiliario y Equipo Educacional y Recreativo</w:t>
            </w:r>
          </w:p>
        </w:tc>
        <w:tc>
          <w:tcPr>
            <w:tcW w:w="2200" w:type="dxa"/>
            <w:tcBorders>
              <w:top w:val="nil"/>
              <w:left w:val="nil"/>
              <w:bottom w:val="nil"/>
              <w:right w:val="nil"/>
            </w:tcBorders>
            <w:shd w:val="clear" w:color="000000" w:fill="FFFFFF"/>
            <w:noWrap/>
            <w:hideMark/>
          </w:tcPr>
          <w:p w:rsidR="00E95F21" w:rsidRDefault="00E95F21" w:rsidP="00E95F21">
            <w:pPr>
              <w:jc w:val="right"/>
              <w:rPr>
                <w:rFonts w:ascii="Barlow" w:hAnsi="Barlow" w:cs="Tahoma"/>
                <w:color w:val="000000"/>
                <w:sz w:val="20"/>
                <w:szCs w:val="20"/>
              </w:rPr>
            </w:pPr>
            <w:r>
              <w:rPr>
                <w:rFonts w:ascii="Barlow" w:hAnsi="Barlow" w:cs="Tahoma"/>
                <w:color w:val="000000"/>
                <w:sz w:val="20"/>
                <w:szCs w:val="20"/>
              </w:rPr>
              <w:t xml:space="preserve">                           28,407.24 </w:t>
            </w:r>
          </w:p>
        </w:tc>
      </w:tr>
      <w:tr w:rsidR="00E95F21" w:rsidTr="00E95F21">
        <w:trPr>
          <w:trHeight w:val="270"/>
        </w:trPr>
        <w:tc>
          <w:tcPr>
            <w:tcW w:w="9796" w:type="dxa"/>
            <w:tcBorders>
              <w:top w:val="nil"/>
              <w:left w:val="nil"/>
              <w:bottom w:val="nil"/>
              <w:right w:val="nil"/>
            </w:tcBorders>
            <w:shd w:val="clear" w:color="000000" w:fill="FFFFFF"/>
            <w:noWrap/>
            <w:hideMark/>
          </w:tcPr>
          <w:p w:rsidR="00E95F21" w:rsidRDefault="00E95F21">
            <w:pPr>
              <w:rPr>
                <w:rFonts w:ascii="Barlow" w:hAnsi="Barlow" w:cs="Tahoma"/>
                <w:color w:val="000000"/>
                <w:sz w:val="20"/>
                <w:szCs w:val="20"/>
              </w:rPr>
            </w:pPr>
            <w:r>
              <w:rPr>
                <w:rFonts w:ascii="Barlow" w:hAnsi="Barlow" w:cs="Tahoma"/>
                <w:color w:val="000000"/>
                <w:sz w:val="20"/>
                <w:szCs w:val="20"/>
              </w:rPr>
              <w:t>Maquinaria, Otros Equipos y Herramientas</w:t>
            </w:r>
          </w:p>
        </w:tc>
        <w:tc>
          <w:tcPr>
            <w:tcW w:w="2200" w:type="dxa"/>
            <w:tcBorders>
              <w:top w:val="nil"/>
              <w:left w:val="nil"/>
              <w:bottom w:val="nil"/>
              <w:right w:val="nil"/>
            </w:tcBorders>
            <w:shd w:val="clear" w:color="000000" w:fill="FFFFFF"/>
            <w:noWrap/>
            <w:hideMark/>
          </w:tcPr>
          <w:p w:rsidR="00E95F21" w:rsidRDefault="00E95F21" w:rsidP="00E95F21">
            <w:pPr>
              <w:jc w:val="right"/>
              <w:rPr>
                <w:rFonts w:ascii="Barlow" w:hAnsi="Barlow" w:cs="Tahoma"/>
                <w:color w:val="000000"/>
                <w:sz w:val="20"/>
                <w:szCs w:val="20"/>
              </w:rPr>
            </w:pPr>
            <w:r>
              <w:rPr>
                <w:rFonts w:ascii="Barlow" w:hAnsi="Barlow" w:cs="Tahoma"/>
                <w:color w:val="000000"/>
                <w:sz w:val="20"/>
                <w:szCs w:val="20"/>
              </w:rPr>
              <w:t xml:space="preserve">                             2,935.96 </w:t>
            </w:r>
          </w:p>
        </w:tc>
      </w:tr>
    </w:tbl>
    <w:p w:rsidR="00CC1648" w:rsidRPr="00376103" w:rsidRDefault="00CC1648" w:rsidP="007B31DE">
      <w:pPr>
        <w:jc w:val="both"/>
        <w:rPr>
          <w:rFonts w:ascii="Barlow" w:hAnsi="Barlow"/>
          <w:sz w:val="20"/>
          <w:szCs w:val="20"/>
        </w:rPr>
      </w:pPr>
    </w:p>
    <w:p w:rsidR="007B31DE" w:rsidRDefault="007B31DE" w:rsidP="007B31DE">
      <w:pPr>
        <w:jc w:val="both"/>
        <w:rPr>
          <w:rFonts w:ascii="Calibri" w:hAnsi="Calibri"/>
          <w:sz w:val="20"/>
          <w:szCs w:val="20"/>
        </w:rPr>
      </w:pPr>
    </w:p>
    <w:p w:rsidR="00145C28" w:rsidRDefault="00145C28" w:rsidP="00FE5FBD">
      <w:pPr>
        <w:jc w:val="both"/>
        <w:rPr>
          <w:rFonts w:ascii="Calibri" w:hAnsi="Calibri"/>
          <w:b/>
          <w:sz w:val="20"/>
          <w:szCs w:val="20"/>
        </w:rPr>
      </w:pPr>
    </w:p>
    <w:p w:rsidR="00CC1648" w:rsidRDefault="00CC1648" w:rsidP="00FE5FBD">
      <w:pPr>
        <w:jc w:val="both"/>
        <w:rPr>
          <w:rFonts w:ascii="Calibri" w:hAnsi="Calibri"/>
          <w:b/>
          <w:sz w:val="20"/>
          <w:szCs w:val="20"/>
        </w:rPr>
      </w:pPr>
    </w:p>
    <w:p w:rsidR="00CC1648" w:rsidRDefault="00CC1648" w:rsidP="00FE5FBD">
      <w:pPr>
        <w:jc w:val="both"/>
        <w:rPr>
          <w:rFonts w:ascii="Calibri" w:hAnsi="Calibri"/>
          <w:b/>
          <w:sz w:val="20"/>
          <w:szCs w:val="20"/>
        </w:rPr>
      </w:pPr>
    </w:p>
    <w:p w:rsidR="00CC1648" w:rsidRDefault="00CC1648" w:rsidP="00FE5FBD">
      <w:pPr>
        <w:jc w:val="both"/>
        <w:rPr>
          <w:rFonts w:ascii="Calibri" w:hAnsi="Calibri"/>
          <w:b/>
          <w:sz w:val="20"/>
          <w:szCs w:val="20"/>
        </w:rPr>
      </w:pPr>
    </w:p>
    <w:p w:rsidR="00CC1648" w:rsidRDefault="00CC1648" w:rsidP="00FE5FBD">
      <w:pPr>
        <w:jc w:val="both"/>
        <w:rPr>
          <w:rFonts w:ascii="Calibri" w:hAnsi="Calibri"/>
          <w:b/>
          <w:sz w:val="20"/>
          <w:szCs w:val="20"/>
        </w:rPr>
      </w:pPr>
    </w:p>
    <w:p w:rsidR="005D312A" w:rsidRPr="005C6A2B" w:rsidRDefault="00221056" w:rsidP="00FE5FBD">
      <w:pPr>
        <w:jc w:val="both"/>
        <w:rPr>
          <w:rFonts w:ascii="Barlow" w:hAnsi="Barlow"/>
          <w:sz w:val="20"/>
          <w:szCs w:val="20"/>
        </w:rPr>
      </w:pPr>
      <w:r w:rsidRPr="005C6A2B">
        <w:rPr>
          <w:rFonts w:ascii="Barlow" w:hAnsi="Barlow"/>
          <w:b/>
          <w:sz w:val="20"/>
          <w:szCs w:val="20"/>
        </w:rPr>
        <w:t>3</w:t>
      </w:r>
      <w:r w:rsidR="00FE5FBD" w:rsidRPr="005C6A2B">
        <w:rPr>
          <w:rFonts w:ascii="Barlow" w:hAnsi="Barlow"/>
          <w:b/>
          <w:sz w:val="20"/>
          <w:szCs w:val="20"/>
        </w:rPr>
        <w:t>. Conciliación de los Flujos de Efectivo Netos de las Actividades de Operación y la cuenta Ahorro/Desahorro antes de Rubros Extraordinarios</w:t>
      </w:r>
      <w:r w:rsidR="00FE5FBD" w:rsidRPr="005C6A2B">
        <w:rPr>
          <w:rFonts w:ascii="Barlow" w:hAnsi="Barlow"/>
          <w:sz w:val="20"/>
          <w:szCs w:val="20"/>
        </w:rPr>
        <w:t>.</w:t>
      </w:r>
    </w:p>
    <w:p w:rsidR="003B4B3D" w:rsidRPr="005C6A2B" w:rsidRDefault="003B4B3D" w:rsidP="00FE5FBD">
      <w:pPr>
        <w:jc w:val="both"/>
        <w:rPr>
          <w:rFonts w:ascii="Barlow" w:hAnsi="Barlow"/>
          <w:sz w:val="20"/>
          <w:szCs w:val="20"/>
        </w:rPr>
      </w:pPr>
    </w:p>
    <w:p w:rsidR="00FE5FBD" w:rsidRPr="005C6A2B" w:rsidRDefault="00FE5FBD" w:rsidP="00FE5FBD">
      <w:pPr>
        <w:jc w:val="both"/>
        <w:rPr>
          <w:rFonts w:ascii="Barlow" w:hAnsi="Barlow"/>
          <w:sz w:val="20"/>
          <w:szCs w:val="20"/>
        </w:rPr>
      </w:pPr>
    </w:p>
    <w:tbl>
      <w:tblPr>
        <w:tblW w:w="0" w:type="auto"/>
        <w:tblInd w:w="534" w:type="dxa"/>
        <w:tblLayout w:type="fixed"/>
        <w:tblLook w:val="01E0"/>
      </w:tblPr>
      <w:tblGrid>
        <w:gridCol w:w="6378"/>
        <w:gridCol w:w="2694"/>
        <w:gridCol w:w="3260"/>
      </w:tblGrid>
      <w:tr w:rsidR="00FE5FBD" w:rsidRPr="005C6A2B" w:rsidTr="00A42B13">
        <w:tc>
          <w:tcPr>
            <w:tcW w:w="6378" w:type="dxa"/>
          </w:tcPr>
          <w:p w:rsidR="00FE5FBD" w:rsidRPr="005C6A2B" w:rsidRDefault="00FE5FBD" w:rsidP="005C6A2B">
            <w:pPr>
              <w:spacing w:line="360" w:lineRule="auto"/>
              <w:ind w:left="-234"/>
              <w:jc w:val="both"/>
              <w:rPr>
                <w:rFonts w:ascii="Barlow" w:hAnsi="Barlow"/>
                <w:sz w:val="20"/>
                <w:szCs w:val="20"/>
              </w:rPr>
            </w:pPr>
          </w:p>
        </w:tc>
        <w:tc>
          <w:tcPr>
            <w:tcW w:w="2694" w:type="dxa"/>
          </w:tcPr>
          <w:p w:rsidR="00FE5FBD" w:rsidRPr="005C6A2B" w:rsidRDefault="00FE5FBD" w:rsidP="005C6A2B">
            <w:pPr>
              <w:spacing w:line="360" w:lineRule="auto"/>
              <w:jc w:val="both"/>
              <w:rPr>
                <w:rFonts w:ascii="Barlow" w:hAnsi="Barlow"/>
                <w:sz w:val="20"/>
                <w:szCs w:val="20"/>
              </w:rPr>
            </w:pPr>
            <w:r w:rsidRPr="005C6A2B">
              <w:rPr>
                <w:rFonts w:ascii="Barlow" w:hAnsi="Barlow"/>
                <w:sz w:val="20"/>
                <w:szCs w:val="20"/>
              </w:rPr>
              <w:t>Período Actual</w:t>
            </w:r>
          </w:p>
        </w:tc>
        <w:tc>
          <w:tcPr>
            <w:tcW w:w="3260" w:type="dxa"/>
          </w:tcPr>
          <w:p w:rsidR="00FE5FBD" w:rsidRPr="005C6A2B" w:rsidRDefault="00FE5FBD" w:rsidP="005C6A2B">
            <w:pPr>
              <w:spacing w:line="360" w:lineRule="auto"/>
              <w:jc w:val="both"/>
              <w:rPr>
                <w:rFonts w:ascii="Barlow" w:hAnsi="Barlow"/>
                <w:sz w:val="20"/>
                <w:szCs w:val="20"/>
              </w:rPr>
            </w:pPr>
            <w:r w:rsidRPr="005C6A2B">
              <w:rPr>
                <w:rFonts w:ascii="Barlow" w:hAnsi="Barlow"/>
                <w:sz w:val="20"/>
                <w:szCs w:val="20"/>
              </w:rPr>
              <w:t>Período Anterior</w:t>
            </w:r>
          </w:p>
        </w:tc>
      </w:tr>
      <w:tr w:rsidR="0046022E" w:rsidRPr="005C6A2B" w:rsidTr="00A42B13">
        <w:tc>
          <w:tcPr>
            <w:tcW w:w="6378"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Ahorro/Desahorro antes de rubros Extraordinarios</w:t>
            </w:r>
          </w:p>
        </w:tc>
        <w:tc>
          <w:tcPr>
            <w:tcW w:w="2694" w:type="dxa"/>
          </w:tcPr>
          <w:p w:rsidR="0046022E" w:rsidRPr="005C6A2B" w:rsidRDefault="0049017C" w:rsidP="005C6A2B">
            <w:pPr>
              <w:spacing w:line="360" w:lineRule="auto"/>
              <w:jc w:val="right"/>
              <w:rPr>
                <w:rFonts w:ascii="Barlow" w:hAnsi="Barlow" w:cs="Arial"/>
                <w:b/>
                <w:bCs/>
                <w:color w:val="000000"/>
                <w:sz w:val="20"/>
                <w:szCs w:val="20"/>
              </w:rPr>
            </w:pPr>
            <w:r>
              <w:rPr>
                <w:rFonts w:ascii="Barlow" w:hAnsi="Barlow" w:cs="Arial"/>
                <w:b/>
                <w:bCs/>
                <w:color w:val="000000"/>
                <w:sz w:val="20"/>
                <w:szCs w:val="20"/>
              </w:rPr>
              <w:t>16,271,773.68</w:t>
            </w:r>
          </w:p>
        </w:tc>
        <w:tc>
          <w:tcPr>
            <w:tcW w:w="3260" w:type="dxa"/>
          </w:tcPr>
          <w:p w:rsidR="0046022E" w:rsidRPr="005C6A2B" w:rsidRDefault="0049017C" w:rsidP="005C6A2B">
            <w:pPr>
              <w:spacing w:line="360" w:lineRule="auto"/>
              <w:jc w:val="right"/>
              <w:rPr>
                <w:rFonts w:ascii="Barlow" w:hAnsi="Barlow" w:cs="Arial"/>
                <w:b/>
                <w:bCs/>
                <w:color w:val="000000"/>
                <w:sz w:val="20"/>
                <w:szCs w:val="20"/>
              </w:rPr>
            </w:pPr>
            <w:r>
              <w:rPr>
                <w:rFonts w:ascii="Barlow" w:hAnsi="Barlow" w:cs="Arial"/>
                <w:b/>
                <w:bCs/>
                <w:color w:val="000000"/>
                <w:sz w:val="20"/>
                <w:szCs w:val="20"/>
              </w:rPr>
              <w:t>36,322,092.06</w:t>
            </w:r>
          </w:p>
        </w:tc>
      </w:tr>
      <w:tr w:rsidR="0046022E" w:rsidRPr="005C6A2B" w:rsidTr="00A42B13">
        <w:trPr>
          <w:trHeight w:val="286"/>
        </w:trPr>
        <w:tc>
          <w:tcPr>
            <w:tcW w:w="6378"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Movimientos de partidas (o rubros) que no afectan al efectivo.</w:t>
            </w:r>
          </w:p>
        </w:tc>
        <w:tc>
          <w:tcPr>
            <w:tcW w:w="2694" w:type="dxa"/>
          </w:tcPr>
          <w:p w:rsidR="0046022E" w:rsidRPr="005C6A2B" w:rsidRDefault="00C548E1" w:rsidP="005C6A2B">
            <w:pPr>
              <w:spacing w:line="360" w:lineRule="auto"/>
              <w:jc w:val="right"/>
              <w:rPr>
                <w:rFonts w:ascii="Barlow" w:hAnsi="Barlow"/>
                <w:sz w:val="20"/>
                <w:szCs w:val="20"/>
              </w:rPr>
            </w:pPr>
            <w:r w:rsidRPr="005C6A2B">
              <w:rPr>
                <w:rFonts w:ascii="Barlow" w:hAnsi="Barlow"/>
                <w:sz w:val="20"/>
                <w:szCs w:val="20"/>
              </w:rPr>
              <w:t>0.00</w:t>
            </w:r>
          </w:p>
          <w:p w:rsidR="0046022E" w:rsidRPr="005C6A2B" w:rsidRDefault="0046022E" w:rsidP="005C6A2B">
            <w:pPr>
              <w:spacing w:line="360" w:lineRule="auto"/>
              <w:jc w:val="right"/>
              <w:rPr>
                <w:rFonts w:ascii="Barlow" w:hAnsi="Barlow"/>
                <w:sz w:val="20"/>
                <w:szCs w:val="20"/>
              </w:rPr>
            </w:pPr>
          </w:p>
        </w:tc>
        <w:tc>
          <w:tcPr>
            <w:tcW w:w="3260"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r>
      <w:tr w:rsidR="0046022E" w:rsidRPr="005C6A2B" w:rsidTr="00A42B13">
        <w:tc>
          <w:tcPr>
            <w:tcW w:w="6378"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Depreciación</w:t>
            </w:r>
          </w:p>
        </w:tc>
        <w:tc>
          <w:tcPr>
            <w:tcW w:w="2694" w:type="dxa"/>
          </w:tcPr>
          <w:p w:rsidR="0046022E" w:rsidRPr="005C6A2B" w:rsidRDefault="0049017C" w:rsidP="005C6A2B">
            <w:pPr>
              <w:spacing w:line="360" w:lineRule="auto"/>
              <w:jc w:val="right"/>
              <w:rPr>
                <w:rFonts w:ascii="Barlow" w:hAnsi="Barlow" w:cs="Arial"/>
                <w:color w:val="000000"/>
                <w:sz w:val="20"/>
                <w:szCs w:val="20"/>
              </w:rPr>
            </w:pPr>
            <w:r>
              <w:rPr>
                <w:rFonts w:ascii="Barlow" w:hAnsi="Barlow" w:cs="Arial"/>
                <w:color w:val="000000"/>
                <w:sz w:val="20"/>
                <w:szCs w:val="20"/>
              </w:rPr>
              <w:t>8,437,035.42</w:t>
            </w:r>
          </w:p>
        </w:tc>
        <w:tc>
          <w:tcPr>
            <w:tcW w:w="3260" w:type="dxa"/>
          </w:tcPr>
          <w:p w:rsidR="0046022E" w:rsidRPr="005C6A2B" w:rsidRDefault="0049017C" w:rsidP="005C6A2B">
            <w:pPr>
              <w:spacing w:line="360" w:lineRule="auto"/>
              <w:jc w:val="right"/>
              <w:rPr>
                <w:rFonts w:ascii="Barlow" w:hAnsi="Barlow" w:cs="Arial"/>
                <w:color w:val="000000"/>
                <w:sz w:val="20"/>
                <w:szCs w:val="20"/>
              </w:rPr>
            </w:pPr>
            <w:r>
              <w:rPr>
                <w:rFonts w:ascii="Barlow" w:hAnsi="Barlow" w:cs="Arial"/>
                <w:color w:val="000000"/>
                <w:sz w:val="20"/>
                <w:szCs w:val="20"/>
              </w:rPr>
              <w:t>8,162,564,.38</w:t>
            </w:r>
          </w:p>
        </w:tc>
      </w:tr>
      <w:tr w:rsidR="0046022E" w:rsidRPr="005C6A2B" w:rsidTr="00A42B13">
        <w:tc>
          <w:tcPr>
            <w:tcW w:w="6378"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Amortización</w:t>
            </w:r>
          </w:p>
        </w:tc>
        <w:tc>
          <w:tcPr>
            <w:tcW w:w="2694"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c>
          <w:tcPr>
            <w:tcW w:w="3260"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r>
      <w:tr w:rsidR="0046022E" w:rsidRPr="005C6A2B" w:rsidTr="00A42B13">
        <w:tc>
          <w:tcPr>
            <w:tcW w:w="6378"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Incrementos en las provisiones</w:t>
            </w:r>
          </w:p>
        </w:tc>
        <w:tc>
          <w:tcPr>
            <w:tcW w:w="2694"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c>
          <w:tcPr>
            <w:tcW w:w="3260"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r>
      <w:tr w:rsidR="0046022E" w:rsidRPr="005C6A2B" w:rsidTr="00A42B13">
        <w:tc>
          <w:tcPr>
            <w:tcW w:w="6378"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Incremento en inversiones producido por reevaluación</w:t>
            </w:r>
          </w:p>
        </w:tc>
        <w:tc>
          <w:tcPr>
            <w:tcW w:w="2694"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c>
          <w:tcPr>
            <w:tcW w:w="3260"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r>
      <w:tr w:rsidR="0046022E" w:rsidRPr="005C6A2B" w:rsidTr="00A42B13">
        <w:tc>
          <w:tcPr>
            <w:tcW w:w="6378"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Ganancia/pérdida en venta de propiedad, planta y equipo</w:t>
            </w:r>
          </w:p>
        </w:tc>
        <w:tc>
          <w:tcPr>
            <w:tcW w:w="2694"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c>
          <w:tcPr>
            <w:tcW w:w="3260"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r>
      <w:tr w:rsidR="0046022E" w:rsidRPr="005C6A2B" w:rsidTr="00A42B13">
        <w:tc>
          <w:tcPr>
            <w:tcW w:w="6378"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Incremento en cuentas por cobrar</w:t>
            </w:r>
          </w:p>
        </w:tc>
        <w:tc>
          <w:tcPr>
            <w:tcW w:w="2694"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c>
          <w:tcPr>
            <w:tcW w:w="3260"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r>
      <w:tr w:rsidR="0046022E" w:rsidRPr="005C6A2B" w:rsidTr="00A42B13">
        <w:tc>
          <w:tcPr>
            <w:tcW w:w="6378" w:type="dxa"/>
          </w:tcPr>
          <w:p w:rsidR="0046022E" w:rsidRPr="005C6A2B" w:rsidRDefault="0046022E" w:rsidP="005C6A2B">
            <w:pPr>
              <w:spacing w:line="360" w:lineRule="auto"/>
              <w:jc w:val="both"/>
              <w:rPr>
                <w:rFonts w:ascii="Barlow" w:hAnsi="Barlow"/>
                <w:sz w:val="20"/>
                <w:szCs w:val="20"/>
              </w:rPr>
            </w:pPr>
            <w:r w:rsidRPr="005C6A2B">
              <w:rPr>
                <w:rFonts w:ascii="Barlow" w:hAnsi="Barlow"/>
                <w:sz w:val="20"/>
                <w:szCs w:val="20"/>
              </w:rPr>
              <w:t>Partidas extraordinarias</w:t>
            </w:r>
          </w:p>
        </w:tc>
        <w:tc>
          <w:tcPr>
            <w:tcW w:w="2694"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c>
          <w:tcPr>
            <w:tcW w:w="3260" w:type="dxa"/>
          </w:tcPr>
          <w:p w:rsidR="0046022E" w:rsidRPr="005C6A2B" w:rsidRDefault="0046022E" w:rsidP="005C6A2B">
            <w:pPr>
              <w:spacing w:line="360" w:lineRule="auto"/>
              <w:jc w:val="right"/>
              <w:rPr>
                <w:rFonts w:ascii="Barlow" w:hAnsi="Barlow"/>
                <w:sz w:val="20"/>
                <w:szCs w:val="20"/>
              </w:rPr>
            </w:pPr>
            <w:r w:rsidRPr="005C6A2B">
              <w:rPr>
                <w:rFonts w:ascii="Barlow" w:hAnsi="Barlow"/>
                <w:sz w:val="20"/>
                <w:szCs w:val="20"/>
              </w:rPr>
              <w:t>0.00</w:t>
            </w:r>
          </w:p>
        </w:tc>
      </w:tr>
    </w:tbl>
    <w:p w:rsidR="00502EC6" w:rsidRDefault="00502EC6" w:rsidP="00FE5FBD">
      <w:pPr>
        <w:jc w:val="both"/>
        <w:rPr>
          <w:rFonts w:asciiTheme="minorHAnsi" w:hAnsiTheme="minorHAnsi" w:cs="Arial"/>
          <w:b/>
          <w:bCs/>
          <w:i/>
          <w:iCs/>
          <w:color w:val="000000"/>
          <w:sz w:val="20"/>
          <w:szCs w:val="20"/>
          <w:lang w:val="es-MX" w:eastAsia="es-MX"/>
        </w:rPr>
      </w:pPr>
    </w:p>
    <w:p w:rsidR="005C6A2B" w:rsidRDefault="005C6A2B" w:rsidP="00FE5FBD">
      <w:pPr>
        <w:jc w:val="both"/>
        <w:rPr>
          <w:rFonts w:asciiTheme="minorHAnsi" w:hAnsiTheme="minorHAnsi" w:cs="Arial"/>
          <w:b/>
          <w:bCs/>
          <w:i/>
          <w:iCs/>
          <w:color w:val="000000"/>
          <w:sz w:val="20"/>
          <w:szCs w:val="20"/>
          <w:lang w:val="es-MX" w:eastAsia="es-MX"/>
        </w:rPr>
      </w:pPr>
    </w:p>
    <w:p w:rsidR="005C6A2B" w:rsidRDefault="005C6A2B" w:rsidP="00FE5FBD">
      <w:pPr>
        <w:jc w:val="both"/>
        <w:rPr>
          <w:rFonts w:asciiTheme="minorHAnsi" w:hAnsiTheme="minorHAnsi" w:cs="Arial"/>
          <w:b/>
          <w:bCs/>
          <w:i/>
          <w:iCs/>
          <w:color w:val="000000"/>
          <w:sz w:val="20"/>
          <w:szCs w:val="20"/>
          <w:lang w:val="es-MX" w:eastAsia="es-MX"/>
        </w:rPr>
      </w:pPr>
    </w:p>
    <w:p w:rsidR="005C6A2B" w:rsidRDefault="005C6A2B" w:rsidP="00FE5FBD">
      <w:pPr>
        <w:jc w:val="both"/>
        <w:rPr>
          <w:rFonts w:asciiTheme="minorHAnsi" w:hAnsiTheme="minorHAnsi" w:cs="Arial"/>
          <w:b/>
          <w:bCs/>
          <w:i/>
          <w:iCs/>
          <w:color w:val="000000"/>
          <w:sz w:val="20"/>
          <w:szCs w:val="20"/>
          <w:lang w:val="es-MX" w:eastAsia="es-MX"/>
        </w:rPr>
      </w:pPr>
    </w:p>
    <w:p w:rsidR="005C6A2B" w:rsidRDefault="005C6A2B" w:rsidP="00FE5FBD">
      <w:pPr>
        <w:jc w:val="both"/>
        <w:rPr>
          <w:rFonts w:asciiTheme="minorHAnsi" w:hAnsiTheme="minorHAnsi" w:cs="Arial"/>
          <w:b/>
          <w:bCs/>
          <w:i/>
          <w:iCs/>
          <w:color w:val="000000"/>
          <w:sz w:val="20"/>
          <w:szCs w:val="20"/>
          <w:lang w:val="es-MX" w:eastAsia="es-MX"/>
        </w:rPr>
      </w:pPr>
    </w:p>
    <w:p w:rsidR="005C6A2B" w:rsidRDefault="005C6A2B" w:rsidP="00FE5FBD">
      <w:pPr>
        <w:jc w:val="both"/>
        <w:rPr>
          <w:rFonts w:asciiTheme="minorHAnsi" w:hAnsiTheme="minorHAnsi" w:cs="Arial"/>
          <w:b/>
          <w:bCs/>
          <w:i/>
          <w:iCs/>
          <w:color w:val="000000"/>
          <w:sz w:val="20"/>
          <w:szCs w:val="20"/>
          <w:lang w:val="es-MX" w:eastAsia="es-MX"/>
        </w:rPr>
      </w:pPr>
    </w:p>
    <w:p w:rsidR="00677CED" w:rsidRDefault="00677CED" w:rsidP="00FE5FBD">
      <w:pPr>
        <w:jc w:val="both"/>
        <w:rPr>
          <w:rFonts w:asciiTheme="minorHAnsi" w:hAnsiTheme="minorHAnsi" w:cs="Arial"/>
          <w:b/>
          <w:bCs/>
          <w:i/>
          <w:iCs/>
          <w:color w:val="000000"/>
          <w:sz w:val="20"/>
          <w:szCs w:val="20"/>
          <w:lang w:val="es-MX" w:eastAsia="es-MX"/>
        </w:rPr>
      </w:pPr>
    </w:p>
    <w:p w:rsidR="00677CED" w:rsidRDefault="00677CED" w:rsidP="00FE5FBD">
      <w:pPr>
        <w:jc w:val="both"/>
        <w:rPr>
          <w:rFonts w:asciiTheme="minorHAnsi" w:hAnsiTheme="minorHAnsi" w:cs="Arial"/>
          <w:b/>
          <w:bCs/>
          <w:i/>
          <w:iCs/>
          <w:color w:val="000000"/>
          <w:sz w:val="20"/>
          <w:szCs w:val="20"/>
          <w:lang w:val="es-MX" w:eastAsia="es-MX"/>
        </w:rPr>
      </w:pPr>
    </w:p>
    <w:p w:rsidR="00A42B13" w:rsidRDefault="00A42B13" w:rsidP="00FE5FBD">
      <w:pPr>
        <w:jc w:val="both"/>
        <w:rPr>
          <w:rFonts w:asciiTheme="minorHAnsi" w:hAnsiTheme="minorHAnsi" w:cs="Arial"/>
          <w:b/>
          <w:bCs/>
          <w:i/>
          <w:iCs/>
          <w:color w:val="000000"/>
          <w:sz w:val="20"/>
          <w:szCs w:val="20"/>
          <w:lang w:val="es-MX" w:eastAsia="es-MX"/>
        </w:rPr>
      </w:pPr>
    </w:p>
    <w:p w:rsidR="005C6A2B" w:rsidRDefault="005C6A2B" w:rsidP="00FE5FBD">
      <w:pPr>
        <w:jc w:val="both"/>
        <w:rPr>
          <w:rFonts w:asciiTheme="minorHAnsi" w:hAnsiTheme="minorHAnsi" w:cs="Arial"/>
          <w:b/>
          <w:bCs/>
          <w:i/>
          <w:iCs/>
          <w:color w:val="000000"/>
          <w:sz w:val="20"/>
          <w:szCs w:val="20"/>
          <w:lang w:val="es-MX" w:eastAsia="es-MX"/>
        </w:rPr>
      </w:pPr>
    </w:p>
    <w:p w:rsidR="005C6A2B" w:rsidRDefault="005C6A2B" w:rsidP="00FE5FBD">
      <w:pPr>
        <w:jc w:val="both"/>
        <w:rPr>
          <w:rFonts w:asciiTheme="minorHAnsi" w:hAnsiTheme="minorHAnsi" w:cs="Arial"/>
          <w:b/>
          <w:bCs/>
          <w:i/>
          <w:iCs/>
          <w:color w:val="000000"/>
          <w:sz w:val="20"/>
          <w:szCs w:val="20"/>
          <w:lang w:val="es-MX" w:eastAsia="es-MX"/>
        </w:rPr>
      </w:pPr>
    </w:p>
    <w:p w:rsidR="00145C28" w:rsidRPr="00A42B13" w:rsidRDefault="002559CC" w:rsidP="00FE5FBD">
      <w:pPr>
        <w:jc w:val="both"/>
        <w:rPr>
          <w:rFonts w:ascii="Barlow" w:hAnsi="Barlow" w:cs="Arial"/>
          <w:b/>
          <w:bCs/>
          <w:i/>
          <w:iCs/>
          <w:color w:val="000000"/>
          <w:sz w:val="20"/>
          <w:szCs w:val="20"/>
          <w:lang w:val="es-MX" w:eastAsia="es-MX"/>
        </w:rPr>
      </w:pPr>
      <w:r w:rsidRPr="00A42B13">
        <w:rPr>
          <w:rFonts w:ascii="Barlow" w:hAnsi="Barlow" w:cs="Arial"/>
          <w:b/>
          <w:bCs/>
          <w:i/>
          <w:iCs/>
          <w:color w:val="000000"/>
          <w:sz w:val="20"/>
          <w:szCs w:val="20"/>
          <w:lang w:val="es-MX" w:eastAsia="es-MX"/>
        </w:rPr>
        <w:t>V). CONCILIACION ENTRE LOS INGRESOS PRESUPUESTARIOS Y CONTABLES, ASÍ COMO ENTRE LOS EGRESOS PRESUPUESTARIOS Y LOS GASTOS CONTABLES.</w:t>
      </w:r>
    </w:p>
    <w:p w:rsidR="002559CC" w:rsidRPr="00A42B13" w:rsidRDefault="002559CC" w:rsidP="00FE5FBD">
      <w:pPr>
        <w:jc w:val="both"/>
        <w:rPr>
          <w:rFonts w:ascii="Barlow" w:hAnsi="Barlow" w:cs="Arial"/>
          <w:b/>
          <w:bCs/>
          <w:i/>
          <w:iCs/>
          <w:color w:val="000000"/>
          <w:sz w:val="20"/>
          <w:szCs w:val="20"/>
          <w:lang w:val="es-MX" w:eastAsia="es-MX"/>
        </w:rPr>
      </w:pPr>
    </w:p>
    <w:p w:rsidR="00145C28" w:rsidRPr="00A42B13" w:rsidRDefault="00145C28" w:rsidP="00FE5FBD">
      <w:pPr>
        <w:jc w:val="both"/>
        <w:rPr>
          <w:rFonts w:ascii="Barlow" w:hAnsi="Barlow" w:cs="Arial"/>
          <w:b/>
          <w:bCs/>
          <w:i/>
          <w:iCs/>
          <w:color w:val="000000"/>
          <w:sz w:val="20"/>
          <w:szCs w:val="20"/>
          <w:lang w:val="es-MX" w:eastAsia="es-MX"/>
        </w:rPr>
      </w:pPr>
    </w:p>
    <w:p w:rsidR="0092022D" w:rsidRPr="00A42B13" w:rsidRDefault="00457DCC" w:rsidP="00FE5FBD">
      <w:pPr>
        <w:jc w:val="both"/>
        <w:rPr>
          <w:rFonts w:ascii="Barlow" w:hAnsi="Barlow" w:cs="Arial"/>
          <w:b/>
          <w:bCs/>
          <w:i/>
          <w:iCs/>
          <w:color w:val="000000"/>
          <w:sz w:val="20"/>
          <w:szCs w:val="20"/>
          <w:lang w:val="es-MX" w:eastAsia="es-MX"/>
        </w:rPr>
      </w:pPr>
      <w:r w:rsidRPr="00A42B13">
        <w:rPr>
          <w:rFonts w:ascii="Barlow" w:hAnsi="Barlow" w:cs="Arial"/>
          <w:b/>
          <w:bCs/>
          <w:i/>
          <w:iCs/>
          <w:color w:val="000000"/>
          <w:sz w:val="20"/>
          <w:szCs w:val="20"/>
          <w:lang w:val="es-MX" w:eastAsia="es-MX"/>
        </w:rPr>
        <w:t>EGRESOS PRESUPUESTARIOS Y LOS GASTOS CONTABLES</w:t>
      </w:r>
    </w:p>
    <w:p w:rsidR="00380D8C" w:rsidRPr="00A42B13" w:rsidRDefault="00380D8C" w:rsidP="00FE5FBD">
      <w:pPr>
        <w:jc w:val="both"/>
        <w:rPr>
          <w:rFonts w:ascii="Barlow" w:hAnsi="Barlow" w:cs="Arial"/>
          <w:b/>
          <w:bCs/>
          <w:i/>
          <w:iCs/>
          <w:color w:val="000000"/>
          <w:sz w:val="20"/>
          <w:szCs w:val="20"/>
          <w:lang w:val="es-MX" w:eastAsia="es-MX"/>
        </w:rPr>
      </w:pPr>
    </w:p>
    <w:tbl>
      <w:tblPr>
        <w:tblW w:w="12082" w:type="dxa"/>
        <w:tblInd w:w="55" w:type="dxa"/>
        <w:tblCellMar>
          <w:left w:w="70" w:type="dxa"/>
          <w:right w:w="70" w:type="dxa"/>
        </w:tblCellMar>
        <w:tblLook w:val="04A0"/>
      </w:tblPr>
      <w:tblGrid>
        <w:gridCol w:w="1480"/>
        <w:gridCol w:w="7406"/>
        <w:gridCol w:w="1477"/>
        <w:gridCol w:w="1719"/>
      </w:tblGrid>
      <w:tr w:rsidR="0021402C" w:rsidTr="001A3477">
        <w:trPr>
          <w:trHeight w:val="240"/>
        </w:trPr>
        <w:tc>
          <w:tcPr>
            <w:tcW w:w="12082" w:type="dxa"/>
            <w:gridSpan w:val="4"/>
            <w:tcBorders>
              <w:top w:val="nil"/>
              <w:left w:val="single" w:sz="4" w:space="0" w:color="auto"/>
              <w:bottom w:val="nil"/>
              <w:right w:val="single" w:sz="4" w:space="0" w:color="000000"/>
            </w:tcBorders>
            <w:shd w:val="clear" w:color="000000" w:fill="BFBFBF"/>
            <w:vAlign w:val="center"/>
            <w:hideMark/>
          </w:tcPr>
          <w:p w:rsidR="0021402C" w:rsidRDefault="0021402C">
            <w:pPr>
              <w:jc w:val="center"/>
              <w:rPr>
                <w:rFonts w:ascii="Arial" w:hAnsi="Arial" w:cs="Arial"/>
                <w:b/>
                <w:bCs/>
                <w:color w:val="000000"/>
                <w:sz w:val="18"/>
                <w:szCs w:val="18"/>
              </w:rPr>
            </w:pPr>
            <w:r>
              <w:rPr>
                <w:rFonts w:ascii="Arial" w:hAnsi="Arial" w:cs="Arial"/>
                <w:b/>
                <w:bCs/>
                <w:color w:val="000000"/>
                <w:sz w:val="18"/>
                <w:szCs w:val="18"/>
              </w:rPr>
              <w:t>Conciliación entre los Egresos Presupuestarios y los Gastos Contables</w:t>
            </w:r>
          </w:p>
        </w:tc>
      </w:tr>
      <w:tr w:rsidR="0021402C" w:rsidTr="001A3477">
        <w:trPr>
          <w:trHeight w:val="240"/>
        </w:trPr>
        <w:tc>
          <w:tcPr>
            <w:tcW w:w="12082"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21402C" w:rsidRDefault="0021402C">
            <w:pPr>
              <w:jc w:val="center"/>
              <w:rPr>
                <w:rFonts w:ascii="Arial" w:hAnsi="Arial" w:cs="Arial"/>
                <w:b/>
                <w:bCs/>
                <w:color w:val="000000"/>
                <w:sz w:val="18"/>
                <w:szCs w:val="18"/>
              </w:rPr>
            </w:pPr>
            <w:r>
              <w:rPr>
                <w:rFonts w:ascii="Arial" w:hAnsi="Arial" w:cs="Arial"/>
                <w:b/>
                <w:bCs/>
                <w:color w:val="000000"/>
                <w:sz w:val="18"/>
                <w:szCs w:val="18"/>
              </w:rPr>
              <w:t>Correspondiente del 1 de Enero al 30 de Junio de 2019</w:t>
            </w:r>
          </w:p>
        </w:tc>
      </w:tr>
      <w:tr w:rsidR="0021402C" w:rsidTr="001A3477">
        <w:trPr>
          <w:trHeight w:val="240"/>
        </w:trPr>
        <w:tc>
          <w:tcPr>
            <w:tcW w:w="888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21402C" w:rsidRDefault="0021402C">
            <w:pPr>
              <w:rPr>
                <w:rFonts w:ascii="Arial" w:hAnsi="Arial" w:cs="Arial"/>
                <w:b/>
                <w:bCs/>
                <w:color w:val="000000"/>
                <w:sz w:val="18"/>
                <w:szCs w:val="18"/>
              </w:rPr>
            </w:pPr>
            <w:r>
              <w:rPr>
                <w:rFonts w:ascii="Arial" w:hAnsi="Arial" w:cs="Arial"/>
                <w:b/>
                <w:bCs/>
                <w:color w:val="000000"/>
                <w:sz w:val="18"/>
                <w:szCs w:val="18"/>
              </w:rPr>
              <w:t>1. Total de egresos (presupuestarios)</w:t>
            </w:r>
          </w:p>
        </w:tc>
        <w:tc>
          <w:tcPr>
            <w:tcW w:w="1477" w:type="dxa"/>
            <w:tcBorders>
              <w:top w:val="nil"/>
              <w:left w:val="nil"/>
              <w:bottom w:val="nil"/>
              <w:right w:val="nil"/>
            </w:tcBorders>
            <w:shd w:val="clear" w:color="auto" w:fill="auto"/>
            <w:noWrap/>
            <w:vAlign w:val="bottom"/>
            <w:hideMark/>
          </w:tcPr>
          <w:p w:rsidR="0021402C" w:rsidRDefault="0021402C">
            <w:pPr>
              <w:jc w:val="right"/>
              <w:rPr>
                <w:rFonts w:ascii="Arial" w:hAnsi="Arial" w:cs="Arial"/>
                <w:color w:val="000000"/>
                <w:sz w:val="18"/>
                <w:szCs w:val="18"/>
              </w:rPr>
            </w:pPr>
          </w:p>
        </w:tc>
        <w:tc>
          <w:tcPr>
            <w:tcW w:w="1719" w:type="dxa"/>
            <w:tcBorders>
              <w:top w:val="nil"/>
              <w:left w:val="single" w:sz="4" w:space="0" w:color="auto"/>
              <w:bottom w:val="single" w:sz="4" w:space="0" w:color="auto"/>
              <w:right w:val="single" w:sz="4" w:space="0" w:color="auto"/>
            </w:tcBorders>
            <w:shd w:val="clear" w:color="000000" w:fill="BFBFBF"/>
            <w:noWrap/>
            <w:vAlign w:val="center"/>
            <w:hideMark/>
          </w:tcPr>
          <w:p w:rsidR="0021402C" w:rsidRDefault="0021402C">
            <w:pPr>
              <w:jc w:val="right"/>
              <w:rPr>
                <w:rFonts w:ascii="Arial" w:hAnsi="Arial" w:cs="Arial"/>
                <w:b/>
                <w:bCs/>
                <w:color w:val="000000"/>
                <w:sz w:val="18"/>
                <w:szCs w:val="18"/>
              </w:rPr>
            </w:pPr>
            <w:r>
              <w:rPr>
                <w:rFonts w:ascii="Arial" w:hAnsi="Arial" w:cs="Arial"/>
                <w:b/>
                <w:bCs/>
                <w:color w:val="000000"/>
                <w:sz w:val="18"/>
                <w:szCs w:val="18"/>
              </w:rPr>
              <w:t>242,227,667</w:t>
            </w:r>
          </w:p>
        </w:tc>
      </w:tr>
      <w:tr w:rsidR="0021402C" w:rsidTr="001A3477">
        <w:trPr>
          <w:trHeight w:val="240"/>
        </w:trPr>
        <w:tc>
          <w:tcPr>
            <w:tcW w:w="8886" w:type="dxa"/>
            <w:gridSpan w:val="2"/>
            <w:tcBorders>
              <w:top w:val="nil"/>
              <w:left w:val="nil"/>
              <w:bottom w:val="nil"/>
              <w:right w:val="nil"/>
            </w:tcBorders>
            <w:shd w:val="clear" w:color="auto" w:fill="auto"/>
            <w:noWrap/>
            <w:vAlign w:val="bottom"/>
            <w:hideMark/>
          </w:tcPr>
          <w:p w:rsidR="0021402C" w:rsidRDefault="0021402C">
            <w:pPr>
              <w:rPr>
                <w:rFonts w:ascii="Arial" w:hAnsi="Arial" w:cs="Arial"/>
                <w:color w:val="000000"/>
                <w:sz w:val="18"/>
                <w:szCs w:val="18"/>
              </w:rPr>
            </w:pPr>
          </w:p>
        </w:tc>
        <w:tc>
          <w:tcPr>
            <w:tcW w:w="1477" w:type="dxa"/>
            <w:tcBorders>
              <w:top w:val="nil"/>
              <w:left w:val="nil"/>
              <w:bottom w:val="nil"/>
              <w:right w:val="nil"/>
            </w:tcBorders>
            <w:shd w:val="clear" w:color="auto" w:fill="auto"/>
            <w:noWrap/>
            <w:vAlign w:val="bottom"/>
            <w:hideMark/>
          </w:tcPr>
          <w:p w:rsidR="0021402C" w:rsidRDefault="0021402C">
            <w:pPr>
              <w:jc w:val="right"/>
              <w:rPr>
                <w:rFonts w:ascii="Arial" w:hAnsi="Arial" w:cs="Arial"/>
                <w:color w:val="000000"/>
                <w:sz w:val="18"/>
                <w:szCs w:val="18"/>
              </w:rPr>
            </w:pPr>
          </w:p>
        </w:tc>
        <w:tc>
          <w:tcPr>
            <w:tcW w:w="1719" w:type="dxa"/>
            <w:tcBorders>
              <w:top w:val="nil"/>
              <w:left w:val="nil"/>
              <w:bottom w:val="nil"/>
              <w:right w:val="nil"/>
            </w:tcBorders>
            <w:shd w:val="clear" w:color="auto" w:fill="auto"/>
            <w:noWrap/>
            <w:vAlign w:val="bottom"/>
            <w:hideMark/>
          </w:tcPr>
          <w:p w:rsidR="0021402C" w:rsidRDefault="0021402C">
            <w:pPr>
              <w:jc w:val="right"/>
              <w:rPr>
                <w:rFonts w:ascii="Arial" w:hAnsi="Arial" w:cs="Arial"/>
                <w:color w:val="000000"/>
                <w:sz w:val="18"/>
                <w:szCs w:val="18"/>
              </w:rPr>
            </w:pPr>
          </w:p>
        </w:tc>
      </w:tr>
      <w:tr w:rsidR="0021402C" w:rsidTr="001A3477">
        <w:trPr>
          <w:trHeight w:val="240"/>
        </w:trPr>
        <w:tc>
          <w:tcPr>
            <w:tcW w:w="8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02C" w:rsidRDefault="0021402C">
            <w:pPr>
              <w:rPr>
                <w:rFonts w:ascii="Arial" w:hAnsi="Arial" w:cs="Arial"/>
                <w:b/>
                <w:bCs/>
                <w:color w:val="000000"/>
                <w:sz w:val="18"/>
                <w:szCs w:val="18"/>
              </w:rPr>
            </w:pPr>
            <w:r>
              <w:rPr>
                <w:rFonts w:ascii="Arial" w:hAnsi="Arial" w:cs="Arial"/>
                <w:b/>
                <w:bCs/>
                <w:color w:val="000000"/>
                <w:sz w:val="18"/>
                <w:szCs w:val="18"/>
              </w:rPr>
              <w:t>2. Menos egresos presupuestarios no contables</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21402C" w:rsidRDefault="0021402C">
            <w:pPr>
              <w:jc w:val="right"/>
              <w:rPr>
                <w:rFonts w:ascii="Arial" w:hAnsi="Arial" w:cs="Arial"/>
                <w:color w:val="000000"/>
                <w:sz w:val="18"/>
                <w:szCs w:val="18"/>
              </w:rPr>
            </w:pPr>
            <w:r>
              <w:rPr>
                <w:rFonts w:ascii="Arial" w:hAnsi="Arial" w:cs="Arial"/>
                <w:color w:val="000000"/>
                <w:sz w:val="18"/>
                <w:szCs w:val="18"/>
              </w:rPr>
              <w:t> </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b/>
                <w:bCs/>
                <w:color w:val="000000"/>
                <w:sz w:val="18"/>
                <w:szCs w:val="18"/>
              </w:rPr>
            </w:pPr>
            <w:r>
              <w:rPr>
                <w:rFonts w:ascii="Arial" w:hAnsi="Arial" w:cs="Arial"/>
                <w:b/>
                <w:bCs/>
                <w:color w:val="000000"/>
                <w:sz w:val="18"/>
                <w:szCs w:val="18"/>
              </w:rPr>
              <w:t>2,856,841</w:t>
            </w: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2.1 Materias Primas y Materiales de Producción y Comercialización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2.2 Materiales y Suministros</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2.3 Mobiliario y Equipo de Administración</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830,567</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2.4 Mobiliario y Equipo Educacional y Recreativo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29,960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2.5 Equipo e Instrumental Médico y de Laboratorio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52,780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2.6 Vehículos y Equipo de Transporte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2.7 Equipo de Defensa y Seguridad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2.8 Maquinaria, Otros Equipos y Herramientas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13,772</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2.9 Activos Biológicos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2.10 Bienes Inmuebles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2.11 Activos Intangibles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2.12 Obra Pública en Bienes de Dominio Público</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2.13 Obra Pública en Bienes Propios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2.14 Acciones y Participaciones de Capital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2.15 Compra de Títulos y Valores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2.16 Concesión de Préstamos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2.17 Inversiones en Fideicomisos, Mandatos y Otros Análogos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 </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lastRenderedPageBreak/>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2.18 Provisiones para Contingencias y Otras Erogaciones Especiales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 </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55"/>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xml:space="preserve">2.19 Amortización de la Deuda Pública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 </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888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2.21 Otros Egresos Presupuestales No Contables</w:t>
            </w:r>
          </w:p>
        </w:tc>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 </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02C" w:rsidRDefault="0021402C">
            <w:pPr>
              <w:rPr>
                <w:rFonts w:ascii="Arial" w:hAnsi="Arial" w:cs="Arial"/>
                <w:color w:val="000000"/>
                <w:sz w:val="18"/>
                <w:szCs w:val="18"/>
              </w:rPr>
            </w:pPr>
            <w:r>
              <w:rPr>
                <w:rFonts w:ascii="Arial" w:hAnsi="Arial" w:cs="Arial"/>
                <w:color w:val="000000"/>
                <w:sz w:val="18"/>
                <w:szCs w:val="18"/>
              </w:rPr>
              <w:t xml:space="preserve">              Almacén</w:t>
            </w:r>
          </w:p>
        </w:tc>
        <w:tc>
          <w:tcPr>
            <w:tcW w:w="7406" w:type="dxa"/>
            <w:tcBorders>
              <w:top w:val="single" w:sz="4" w:space="0" w:color="auto"/>
              <w:left w:val="nil"/>
              <w:bottom w:val="single" w:sz="4" w:space="0" w:color="auto"/>
              <w:right w:val="single" w:sz="4" w:space="0" w:color="auto"/>
            </w:tcBorders>
            <w:shd w:val="clear" w:color="auto" w:fill="auto"/>
            <w:vAlign w:val="bottom"/>
            <w:hideMark/>
          </w:tcPr>
          <w:p w:rsidR="0021402C" w:rsidRDefault="0021402C">
            <w:pPr>
              <w:rPr>
                <w:color w:val="000000"/>
              </w:rPr>
            </w:pPr>
            <w:r>
              <w:rPr>
                <w:color w:val="000000"/>
              </w:rPr>
              <w:t> </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1,929,762</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8886" w:type="dxa"/>
            <w:gridSpan w:val="2"/>
            <w:tcBorders>
              <w:top w:val="nil"/>
              <w:left w:val="nil"/>
              <w:bottom w:val="nil"/>
              <w:right w:val="nil"/>
            </w:tcBorders>
            <w:shd w:val="clear" w:color="auto" w:fill="auto"/>
            <w:noWrap/>
            <w:vAlign w:val="bottom"/>
            <w:hideMark/>
          </w:tcPr>
          <w:p w:rsidR="0021402C" w:rsidRDefault="0021402C">
            <w:pPr>
              <w:rPr>
                <w:rFonts w:ascii="Arial" w:hAnsi="Arial" w:cs="Arial"/>
                <w:color w:val="000000"/>
                <w:sz w:val="18"/>
                <w:szCs w:val="18"/>
              </w:rPr>
            </w:pPr>
          </w:p>
        </w:tc>
        <w:tc>
          <w:tcPr>
            <w:tcW w:w="1477" w:type="dxa"/>
            <w:tcBorders>
              <w:top w:val="nil"/>
              <w:left w:val="nil"/>
              <w:bottom w:val="nil"/>
              <w:right w:val="nil"/>
            </w:tcBorders>
            <w:shd w:val="clear" w:color="auto" w:fill="auto"/>
            <w:noWrap/>
            <w:vAlign w:val="bottom"/>
            <w:hideMark/>
          </w:tcPr>
          <w:p w:rsidR="0021402C" w:rsidRDefault="0021402C">
            <w:pPr>
              <w:jc w:val="right"/>
              <w:rPr>
                <w:rFonts w:ascii="Arial" w:hAnsi="Arial" w:cs="Arial"/>
                <w:color w:val="000000"/>
                <w:sz w:val="18"/>
                <w:szCs w:val="18"/>
              </w:rPr>
            </w:pPr>
          </w:p>
        </w:tc>
        <w:tc>
          <w:tcPr>
            <w:tcW w:w="1719" w:type="dxa"/>
            <w:tcBorders>
              <w:top w:val="nil"/>
              <w:left w:val="nil"/>
              <w:bottom w:val="nil"/>
              <w:right w:val="nil"/>
            </w:tcBorders>
            <w:shd w:val="clear" w:color="auto" w:fill="auto"/>
            <w:noWrap/>
            <w:vAlign w:val="bottom"/>
            <w:hideMark/>
          </w:tcPr>
          <w:p w:rsidR="0021402C" w:rsidRDefault="0021402C">
            <w:pPr>
              <w:jc w:val="right"/>
              <w:rPr>
                <w:rFonts w:ascii="Arial" w:hAnsi="Arial" w:cs="Arial"/>
                <w:color w:val="000000"/>
                <w:sz w:val="18"/>
                <w:szCs w:val="18"/>
              </w:rPr>
            </w:pPr>
          </w:p>
        </w:tc>
      </w:tr>
      <w:tr w:rsidR="0021402C" w:rsidTr="001A3477">
        <w:trPr>
          <w:trHeight w:val="240"/>
        </w:trPr>
        <w:tc>
          <w:tcPr>
            <w:tcW w:w="8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02C" w:rsidRDefault="0021402C">
            <w:pPr>
              <w:rPr>
                <w:rFonts w:ascii="Arial" w:hAnsi="Arial" w:cs="Arial"/>
                <w:b/>
                <w:bCs/>
                <w:color w:val="000000"/>
                <w:sz w:val="18"/>
                <w:szCs w:val="18"/>
              </w:rPr>
            </w:pPr>
            <w:r>
              <w:rPr>
                <w:rFonts w:ascii="Arial" w:hAnsi="Arial" w:cs="Arial"/>
                <w:b/>
                <w:bCs/>
                <w:color w:val="000000"/>
                <w:sz w:val="18"/>
                <w:szCs w:val="18"/>
              </w:rPr>
              <w:t>3. Más Gasto Contables No Presupuestales</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21402C" w:rsidRDefault="0021402C">
            <w:pPr>
              <w:jc w:val="right"/>
              <w:rPr>
                <w:rFonts w:ascii="Arial" w:hAnsi="Arial" w:cs="Arial"/>
                <w:color w:val="000000"/>
                <w:sz w:val="18"/>
                <w:szCs w:val="18"/>
              </w:rPr>
            </w:pPr>
            <w:r>
              <w:rPr>
                <w:rFonts w:ascii="Arial" w:hAnsi="Arial" w:cs="Arial"/>
                <w:color w:val="000000"/>
                <w:sz w:val="18"/>
                <w:szCs w:val="18"/>
              </w:rPr>
              <w:t> </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b/>
                <w:bCs/>
                <w:color w:val="000000"/>
                <w:sz w:val="18"/>
                <w:szCs w:val="18"/>
              </w:rPr>
            </w:pPr>
            <w:r>
              <w:rPr>
                <w:rFonts w:ascii="Arial" w:hAnsi="Arial" w:cs="Arial"/>
                <w:b/>
                <w:bCs/>
                <w:color w:val="000000"/>
                <w:sz w:val="18"/>
                <w:szCs w:val="18"/>
              </w:rPr>
              <w:t>9,559,429</w:t>
            </w: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3.1 Estimaciones, Depreciaciones, Deterioros, Obsolescencia y Amortizaciones</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8,437,035</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3.2 Provisiones</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3.3 Disminución de inventarios</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48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3.4 Aumento por insuficiencia de estimaciones por pérdida o deterioro u obsolescencia</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3.5 Aumento por insuficiencia de provisiones</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1480" w:type="dxa"/>
            <w:tcBorders>
              <w:top w:val="nil"/>
              <w:left w:val="single" w:sz="4" w:space="0" w:color="auto"/>
              <w:bottom w:val="single" w:sz="4" w:space="0" w:color="auto"/>
              <w:right w:val="nil"/>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 </w:t>
            </w:r>
          </w:p>
        </w:tc>
        <w:tc>
          <w:tcPr>
            <w:tcW w:w="7406" w:type="dxa"/>
            <w:tcBorders>
              <w:top w:val="nil"/>
              <w:left w:val="nil"/>
              <w:bottom w:val="single" w:sz="4" w:space="0" w:color="auto"/>
              <w:right w:val="single" w:sz="4" w:space="0" w:color="auto"/>
            </w:tcBorders>
            <w:shd w:val="clear" w:color="auto" w:fill="auto"/>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3.6 Otros Gastos</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1,122,394</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8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02C" w:rsidRDefault="0021402C">
            <w:pPr>
              <w:ind w:firstLineChars="100" w:firstLine="180"/>
              <w:rPr>
                <w:rFonts w:ascii="Arial" w:hAnsi="Arial" w:cs="Arial"/>
                <w:color w:val="000000"/>
                <w:sz w:val="18"/>
                <w:szCs w:val="18"/>
              </w:rPr>
            </w:pPr>
            <w:r>
              <w:rPr>
                <w:rFonts w:ascii="Arial" w:hAnsi="Arial" w:cs="Arial"/>
                <w:color w:val="000000"/>
                <w:sz w:val="18"/>
                <w:szCs w:val="18"/>
              </w:rPr>
              <w:t>3.7 Otros Gastos Contables No Presupuestales</w:t>
            </w:r>
          </w:p>
        </w:tc>
        <w:tc>
          <w:tcPr>
            <w:tcW w:w="1477" w:type="dxa"/>
            <w:tcBorders>
              <w:top w:val="nil"/>
              <w:left w:val="nil"/>
              <w:bottom w:val="single" w:sz="4" w:space="0" w:color="auto"/>
              <w:right w:val="single" w:sz="4" w:space="0" w:color="auto"/>
            </w:tcBorders>
            <w:shd w:val="clear" w:color="auto" w:fill="auto"/>
            <w:noWrap/>
            <w:vAlign w:val="center"/>
            <w:hideMark/>
          </w:tcPr>
          <w:p w:rsidR="0021402C" w:rsidRDefault="0021402C">
            <w:pPr>
              <w:jc w:val="right"/>
              <w:rPr>
                <w:rFonts w:ascii="Arial" w:hAnsi="Arial" w:cs="Arial"/>
                <w:color w:val="000000"/>
                <w:sz w:val="18"/>
                <w:szCs w:val="18"/>
              </w:rPr>
            </w:pPr>
            <w:r>
              <w:rPr>
                <w:rFonts w:ascii="Arial" w:hAnsi="Arial" w:cs="Arial"/>
                <w:color w:val="000000"/>
                <w:sz w:val="18"/>
                <w:szCs w:val="18"/>
              </w:rPr>
              <w:t>0</w:t>
            </w:r>
          </w:p>
        </w:tc>
        <w:tc>
          <w:tcPr>
            <w:tcW w:w="1719" w:type="dxa"/>
            <w:tcBorders>
              <w:top w:val="nil"/>
              <w:left w:val="nil"/>
              <w:bottom w:val="nil"/>
              <w:right w:val="nil"/>
            </w:tcBorders>
            <w:shd w:val="clear" w:color="auto" w:fill="auto"/>
            <w:vAlign w:val="center"/>
            <w:hideMark/>
          </w:tcPr>
          <w:p w:rsidR="0021402C" w:rsidRDefault="0021402C">
            <w:pPr>
              <w:jc w:val="right"/>
              <w:rPr>
                <w:rFonts w:ascii="Arial" w:hAnsi="Arial" w:cs="Arial"/>
                <w:color w:val="000000"/>
                <w:sz w:val="18"/>
                <w:szCs w:val="18"/>
              </w:rPr>
            </w:pPr>
          </w:p>
        </w:tc>
      </w:tr>
      <w:tr w:rsidR="0021402C" w:rsidTr="001A3477">
        <w:trPr>
          <w:trHeight w:val="240"/>
        </w:trPr>
        <w:tc>
          <w:tcPr>
            <w:tcW w:w="8886" w:type="dxa"/>
            <w:gridSpan w:val="2"/>
            <w:tcBorders>
              <w:top w:val="nil"/>
              <w:left w:val="nil"/>
              <w:bottom w:val="nil"/>
              <w:right w:val="nil"/>
            </w:tcBorders>
            <w:shd w:val="clear" w:color="auto" w:fill="auto"/>
            <w:noWrap/>
            <w:vAlign w:val="bottom"/>
            <w:hideMark/>
          </w:tcPr>
          <w:p w:rsidR="0021402C" w:rsidRDefault="0021402C">
            <w:pPr>
              <w:rPr>
                <w:rFonts w:ascii="Arial" w:hAnsi="Arial" w:cs="Arial"/>
                <w:color w:val="000000"/>
                <w:sz w:val="18"/>
                <w:szCs w:val="18"/>
              </w:rPr>
            </w:pPr>
          </w:p>
        </w:tc>
        <w:tc>
          <w:tcPr>
            <w:tcW w:w="1477" w:type="dxa"/>
            <w:tcBorders>
              <w:top w:val="nil"/>
              <w:left w:val="nil"/>
              <w:bottom w:val="nil"/>
              <w:right w:val="nil"/>
            </w:tcBorders>
            <w:shd w:val="clear" w:color="auto" w:fill="auto"/>
            <w:noWrap/>
            <w:vAlign w:val="bottom"/>
            <w:hideMark/>
          </w:tcPr>
          <w:p w:rsidR="0021402C" w:rsidRDefault="0021402C">
            <w:pPr>
              <w:jc w:val="right"/>
              <w:rPr>
                <w:rFonts w:ascii="Arial" w:hAnsi="Arial" w:cs="Arial"/>
                <w:color w:val="000000"/>
                <w:sz w:val="18"/>
                <w:szCs w:val="18"/>
              </w:rPr>
            </w:pPr>
          </w:p>
        </w:tc>
        <w:tc>
          <w:tcPr>
            <w:tcW w:w="1719" w:type="dxa"/>
            <w:tcBorders>
              <w:top w:val="nil"/>
              <w:left w:val="nil"/>
              <w:bottom w:val="nil"/>
              <w:right w:val="nil"/>
            </w:tcBorders>
            <w:shd w:val="clear" w:color="auto" w:fill="auto"/>
            <w:noWrap/>
            <w:vAlign w:val="bottom"/>
            <w:hideMark/>
          </w:tcPr>
          <w:p w:rsidR="0021402C" w:rsidRDefault="0021402C">
            <w:pPr>
              <w:jc w:val="right"/>
              <w:rPr>
                <w:rFonts w:ascii="Arial" w:hAnsi="Arial" w:cs="Arial"/>
                <w:color w:val="000000"/>
                <w:sz w:val="18"/>
                <w:szCs w:val="18"/>
              </w:rPr>
            </w:pPr>
          </w:p>
        </w:tc>
      </w:tr>
      <w:tr w:rsidR="0021402C" w:rsidTr="001A3477">
        <w:trPr>
          <w:trHeight w:val="240"/>
        </w:trPr>
        <w:tc>
          <w:tcPr>
            <w:tcW w:w="888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21402C" w:rsidRDefault="0021402C">
            <w:pPr>
              <w:rPr>
                <w:rFonts w:ascii="Arial" w:hAnsi="Arial" w:cs="Arial"/>
                <w:b/>
                <w:bCs/>
                <w:color w:val="000000"/>
                <w:sz w:val="18"/>
                <w:szCs w:val="18"/>
              </w:rPr>
            </w:pPr>
            <w:r>
              <w:rPr>
                <w:rFonts w:ascii="Arial" w:hAnsi="Arial" w:cs="Arial"/>
                <w:b/>
                <w:bCs/>
                <w:color w:val="000000"/>
                <w:sz w:val="18"/>
                <w:szCs w:val="18"/>
              </w:rPr>
              <w:t>4. Total de Gasto Contable (4 = 1 - 2 + 3)</w:t>
            </w:r>
          </w:p>
        </w:tc>
        <w:tc>
          <w:tcPr>
            <w:tcW w:w="1477" w:type="dxa"/>
            <w:tcBorders>
              <w:top w:val="nil"/>
              <w:left w:val="nil"/>
              <w:bottom w:val="nil"/>
              <w:right w:val="nil"/>
            </w:tcBorders>
            <w:shd w:val="clear" w:color="auto" w:fill="auto"/>
            <w:noWrap/>
            <w:vAlign w:val="bottom"/>
            <w:hideMark/>
          </w:tcPr>
          <w:p w:rsidR="0021402C" w:rsidRDefault="0021402C">
            <w:pPr>
              <w:jc w:val="right"/>
              <w:rPr>
                <w:rFonts w:ascii="Arial" w:hAnsi="Arial" w:cs="Arial"/>
                <w:color w:val="000000"/>
                <w:sz w:val="18"/>
                <w:szCs w:val="18"/>
              </w:rPr>
            </w:pPr>
          </w:p>
        </w:tc>
        <w:tc>
          <w:tcPr>
            <w:tcW w:w="171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1402C" w:rsidRDefault="0021402C">
            <w:pPr>
              <w:jc w:val="right"/>
              <w:rPr>
                <w:rFonts w:ascii="Arial" w:hAnsi="Arial" w:cs="Arial"/>
                <w:b/>
                <w:bCs/>
                <w:color w:val="000000"/>
                <w:sz w:val="18"/>
                <w:szCs w:val="18"/>
              </w:rPr>
            </w:pPr>
            <w:r>
              <w:rPr>
                <w:rFonts w:ascii="Arial" w:hAnsi="Arial" w:cs="Arial"/>
                <w:b/>
                <w:bCs/>
                <w:color w:val="000000"/>
                <w:sz w:val="18"/>
                <w:szCs w:val="18"/>
              </w:rPr>
              <w:t>248,930,255</w:t>
            </w:r>
          </w:p>
        </w:tc>
      </w:tr>
    </w:tbl>
    <w:p w:rsidR="00380D8C" w:rsidRPr="00A42B13" w:rsidRDefault="00380D8C" w:rsidP="00A42B13">
      <w:pPr>
        <w:spacing w:line="360" w:lineRule="auto"/>
        <w:jc w:val="both"/>
        <w:rPr>
          <w:rFonts w:ascii="Barlow" w:hAnsi="Barlow" w:cs="Arial"/>
          <w:b/>
          <w:bCs/>
          <w:i/>
          <w:iCs/>
          <w:color w:val="000000"/>
          <w:sz w:val="20"/>
          <w:szCs w:val="20"/>
          <w:lang w:val="es-MX" w:eastAsia="es-MX"/>
        </w:rPr>
      </w:pPr>
    </w:p>
    <w:p w:rsidR="00DB062B" w:rsidRDefault="00DB062B" w:rsidP="00A42B13">
      <w:pPr>
        <w:spacing w:line="360" w:lineRule="auto"/>
        <w:jc w:val="both"/>
        <w:rPr>
          <w:rFonts w:asciiTheme="minorHAnsi" w:hAnsiTheme="minorHAnsi" w:cs="Arial"/>
          <w:b/>
          <w:bCs/>
          <w:i/>
          <w:iCs/>
          <w:color w:val="000000"/>
          <w:sz w:val="20"/>
          <w:szCs w:val="20"/>
          <w:lang w:val="es-MX" w:eastAsia="es-MX"/>
        </w:rPr>
      </w:pPr>
    </w:p>
    <w:p w:rsidR="00A42B13" w:rsidRDefault="00A42B13" w:rsidP="00A42B13">
      <w:pPr>
        <w:spacing w:line="360" w:lineRule="auto"/>
        <w:jc w:val="both"/>
        <w:rPr>
          <w:rFonts w:asciiTheme="minorHAnsi" w:hAnsiTheme="minorHAnsi" w:cs="Arial"/>
          <w:b/>
          <w:bCs/>
          <w:i/>
          <w:iCs/>
          <w:color w:val="000000"/>
          <w:sz w:val="20"/>
          <w:szCs w:val="20"/>
          <w:lang w:val="es-MX" w:eastAsia="es-MX"/>
        </w:rPr>
      </w:pPr>
    </w:p>
    <w:p w:rsidR="00A42B13" w:rsidRDefault="00A42B13" w:rsidP="00A42B13">
      <w:pPr>
        <w:spacing w:line="360" w:lineRule="auto"/>
        <w:jc w:val="both"/>
        <w:rPr>
          <w:rFonts w:asciiTheme="minorHAnsi" w:hAnsiTheme="minorHAnsi" w:cs="Arial"/>
          <w:b/>
          <w:bCs/>
          <w:i/>
          <w:iCs/>
          <w:color w:val="000000"/>
          <w:sz w:val="20"/>
          <w:szCs w:val="20"/>
          <w:lang w:val="es-MX" w:eastAsia="es-MX"/>
        </w:rPr>
      </w:pPr>
    </w:p>
    <w:p w:rsidR="00A42B13" w:rsidRDefault="00A42B13" w:rsidP="00FE5FBD">
      <w:pPr>
        <w:jc w:val="both"/>
        <w:rPr>
          <w:rFonts w:asciiTheme="minorHAnsi" w:hAnsiTheme="minorHAnsi" w:cs="Arial"/>
          <w:b/>
          <w:bCs/>
          <w:i/>
          <w:iCs/>
          <w:color w:val="000000"/>
          <w:sz w:val="20"/>
          <w:szCs w:val="20"/>
          <w:lang w:val="es-MX" w:eastAsia="es-MX"/>
        </w:rPr>
      </w:pPr>
    </w:p>
    <w:p w:rsidR="00A42B13" w:rsidRDefault="00A42B13" w:rsidP="00FE5FBD">
      <w:pPr>
        <w:jc w:val="both"/>
        <w:rPr>
          <w:rFonts w:asciiTheme="minorHAnsi" w:hAnsiTheme="minorHAnsi" w:cs="Arial"/>
          <w:b/>
          <w:bCs/>
          <w:i/>
          <w:iCs/>
          <w:color w:val="000000"/>
          <w:sz w:val="20"/>
          <w:szCs w:val="20"/>
          <w:lang w:val="es-MX" w:eastAsia="es-MX"/>
        </w:rPr>
      </w:pPr>
    </w:p>
    <w:p w:rsidR="00A42B13" w:rsidRDefault="00A42B13" w:rsidP="00FE5FBD">
      <w:pPr>
        <w:jc w:val="both"/>
        <w:rPr>
          <w:rFonts w:asciiTheme="minorHAnsi" w:hAnsiTheme="minorHAnsi" w:cs="Arial"/>
          <w:b/>
          <w:bCs/>
          <w:i/>
          <w:iCs/>
          <w:color w:val="000000"/>
          <w:sz w:val="20"/>
          <w:szCs w:val="20"/>
          <w:lang w:val="es-MX" w:eastAsia="es-MX"/>
        </w:rPr>
      </w:pPr>
    </w:p>
    <w:p w:rsidR="00A42B13" w:rsidRDefault="00A42B13" w:rsidP="00FE5FBD">
      <w:pPr>
        <w:jc w:val="both"/>
        <w:rPr>
          <w:rFonts w:asciiTheme="minorHAnsi" w:hAnsiTheme="minorHAnsi" w:cs="Arial"/>
          <w:b/>
          <w:bCs/>
          <w:i/>
          <w:iCs/>
          <w:color w:val="000000"/>
          <w:sz w:val="20"/>
          <w:szCs w:val="20"/>
          <w:lang w:val="es-MX" w:eastAsia="es-MX"/>
        </w:rPr>
      </w:pPr>
    </w:p>
    <w:p w:rsidR="00A42B13" w:rsidRDefault="00A42B13" w:rsidP="00FE5FBD">
      <w:pPr>
        <w:jc w:val="both"/>
        <w:rPr>
          <w:rFonts w:asciiTheme="minorHAnsi" w:hAnsiTheme="minorHAnsi" w:cs="Arial"/>
          <w:b/>
          <w:bCs/>
          <w:i/>
          <w:iCs/>
          <w:color w:val="000000"/>
          <w:sz w:val="20"/>
          <w:szCs w:val="20"/>
          <w:lang w:val="es-MX" w:eastAsia="es-MX"/>
        </w:rPr>
      </w:pPr>
    </w:p>
    <w:p w:rsidR="00A42B13" w:rsidRDefault="00A42B13" w:rsidP="00FE5FBD">
      <w:pPr>
        <w:jc w:val="both"/>
        <w:rPr>
          <w:rFonts w:asciiTheme="minorHAnsi" w:hAnsiTheme="minorHAnsi" w:cs="Arial"/>
          <w:b/>
          <w:bCs/>
          <w:i/>
          <w:iCs/>
          <w:color w:val="000000"/>
          <w:sz w:val="20"/>
          <w:szCs w:val="20"/>
          <w:lang w:val="es-MX" w:eastAsia="es-MX"/>
        </w:rPr>
      </w:pPr>
    </w:p>
    <w:p w:rsidR="00A42B13" w:rsidRDefault="00A42B13" w:rsidP="00FE5FBD">
      <w:pPr>
        <w:jc w:val="both"/>
        <w:rPr>
          <w:rFonts w:asciiTheme="minorHAnsi" w:hAnsiTheme="minorHAnsi" w:cs="Arial"/>
          <w:b/>
          <w:bCs/>
          <w:i/>
          <w:iCs/>
          <w:color w:val="000000"/>
          <w:sz w:val="20"/>
          <w:szCs w:val="20"/>
          <w:lang w:val="es-MX" w:eastAsia="es-MX"/>
        </w:rPr>
      </w:pPr>
    </w:p>
    <w:p w:rsidR="00A42B13" w:rsidRDefault="00A42B13" w:rsidP="00FE5FBD">
      <w:pPr>
        <w:jc w:val="both"/>
        <w:rPr>
          <w:rFonts w:asciiTheme="minorHAnsi" w:hAnsiTheme="minorHAnsi" w:cs="Arial"/>
          <w:b/>
          <w:bCs/>
          <w:i/>
          <w:iCs/>
          <w:color w:val="000000"/>
          <w:sz w:val="20"/>
          <w:szCs w:val="20"/>
          <w:lang w:val="es-MX" w:eastAsia="es-MX"/>
        </w:rPr>
      </w:pPr>
    </w:p>
    <w:p w:rsidR="00DB062B" w:rsidRDefault="00DB062B" w:rsidP="00FE5FBD">
      <w:pPr>
        <w:jc w:val="both"/>
        <w:rPr>
          <w:rFonts w:asciiTheme="minorHAnsi" w:hAnsiTheme="minorHAnsi" w:cs="Arial"/>
          <w:b/>
          <w:bCs/>
          <w:i/>
          <w:iCs/>
          <w:color w:val="000000"/>
          <w:sz w:val="20"/>
          <w:szCs w:val="20"/>
          <w:lang w:val="es-MX" w:eastAsia="es-MX"/>
        </w:rPr>
      </w:pPr>
    </w:p>
    <w:p w:rsidR="005D312A" w:rsidRDefault="0092022D" w:rsidP="00FE5FBD">
      <w:pPr>
        <w:jc w:val="both"/>
        <w:rPr>
          <w:rFonts w:asciiTheme="minorHAnsi" w:hAnsiTheme="minorHAnsi" w:cs="Arial"/>
          <w:b/>
          <w:bCs/>
          <w:i/>
          <w:iCs/>
          <w:color w:val="000000"/>
          <w:sz w:val="20"/>
          <w:szCs w:val="20"/>
          <w:lang w:val="es-MX" w:eastAsia="es-MX"/>
        </w:rPr>
      </w:pPr>
      <w:r>
        <w:rPr>
          <w:rFonts w:asciiTheme="minorHAnsi" w:hAnsiTheme="minorHAnsi" w:cs="Arial"/>
          <w:b/>
          <w:bCs/>
          <w:i/>
          <w:iCs/>
          <w:color w:val="000000"/>
          <w:sz w:val="20"/>
          <w:szCs w:val="20"/>
          <w:lang w:val="es-MX" w:eastAsia="es-MX"/>
        </w:rPr>
        <w:t>I</w:t>
      </w:r>
      <w:r w:rsidR="0032372C">
        <w:rPr>
          <w:rFonts w:asciiTheme="minorHAnsi" w:hAnsiTheme="minorHAnsi" w:cs="Arial"/>
          <w:b/>
          <w:bCs/>
          <w:i/>
          <w:iCs/>
          <w:color w:val="000000"/>
          <w:sz w:val="20"/>
          <w:szCs w:val="20"/>
          <w:lang w:val="es-MX" w:eastAsia="es-MX"/>
        </w:rPr>
        <w:t xml:space="preserve">NGRESOS </w:t>
      </w:r>
      <w:r w:rsidR="00457DCC" w:rsidRPr="0034384F">
        <w:rPr>
          <w:rFonts w:asciiTheme="minorHAnsi" w:hAnsiTheme="minorHAnsi" w:cs="Arial"/>
          <w:b/>
          <w:bCs/>
          <w:i/>
          <w:iCs/>
          <w:color w:val="000000"/>
          <w:sz w:val="20"/>
          <w:szCs w:val="20"/>
          <w:lang w:val="es-MX" w:eastAsia="es-MX"/>
        </w:rPr>
        <w:t>PRESUPUESTARIOS Y CONTABLES</w:t>
      </w:r>
    </w:p>
    <w:p w:rsidR="00E3764D" w:rsidRDefault="00E3764D" w:rsidP="00FE5FBD">
      <w:pPr>
        <w:jc w:val="both"/>
        <w:rPr>
          <w:rFonts w:asciiTheme="minorHAnsi" w:hAnsiTheme="minorHAnsi" w:cs="Arial"/>
          <w:b/>
          <w:bCs/>
          <w:i/>
          <w:iCs/>
          <w:color w:val="000000"/>
          <w:sz w:val="20"/>
          <w:szCs w:val="20"/>
          <w:lang w:val="es-MX" w:eastAsia="es-MX"/>
        </w:rPr>
      </w:pPr>
    </w:p>
    <w:p w:rsidR="006268D4" w:rsidRDefault="006268D4" w:rsidP="00FE5FBD">
      <w:pPr>
        <w:jc w:val="both"/>
        <w:rPr>
          <w:rFonts w:asciiTheme="minorHAnsi" w:hAnsiTheme="minorHAnsi" w:cs="Arial"/>
          <w:b/>
          <w:bCs/>
          <w:i/>
          <w:iCs/>
          <w:color w:val="000000"/>
          <w:sz w:val="20"/>
          <w:szCs w:val="20"/>
          <w:lang w:val="es-MX" w:eastAsia="es-MX"/>
        </w:rPr>
      </w:pPr>
    </w:p>
    <w:p w:rsidR="006268D4" w:rsidRDefault="006268D4" w:rsidP="00FE5FBD">
      <w:pPr>
        <w:jc w:val="both"/>
        <w:rPr>
          <w:rFonts w:asciiTheme="minorHAnsi" w:hAnsiTheme="minorHAnsi" w:cs="Arial"/>
          <w:b/>
          <w:bCs/>
          <w:i/>
          <w:iCs/>
          <w:color w:val="000000"/>
          <w:sz w:val="20"/>
          <w:szCs w:val="20"/>
          <w:lang w:val="es-MX" w:eastAsia="es-MX"/>
        </w:rPr>
      </w:pPr>
    </w:p>
    <w:tbl>
      <w:tblPr>
        <w:tblW w:w="10505" w:type="dxa"/>
        <w:tblInd w:w="55" w:type="dxa"/>
        <w:tblCellMar>
          <w:left w:w="70" w:type="dxa"/>
          <w:right w:w="70" w:type="dxa"/>
        </w:tblCellMar>
        <w:tblLook w:val="04A0"/>
      </w:tblPr>
      <w:tblGrid>
        <w:gridCol w:w="673"/>
        <w:gridCol w:w="6560"/>
        <w:gridCol w:w="1429"/>
        <w:gridCol w:w="1843"/>
      </w:tblGrid>
      <w:tr w:rsidR="001A3477" w:rsidTr="001A3477">
        <w:trPr>
          <w:trHeight w:val="240"/>
        </w:trPr>
        <w:tc>
          <w:tcPr>
            <w:tcW w:w="10505"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1A3477" w:rsidRDefault="001A3477">
            <w:pPr>
              <w:jc w:val="center"/>
              <w:rPr>
                <w:rFonts w:ascii="Arial" w:hAnsi="Arial" w:cs="Arial"/>
                <w:b/>
                <w:bCs/>
                <w:color w:val="000000"/>
                <w:sz w:val="18"/>
                <w:szCs w:val="18"/>
              </w:rPr>
            </w:pPr>
            <w:r>
              <w:rPr>
                <w:rFonts w:ascii="Arial" w:hAnsi="Arial" w:cs="Arial"/>
                <w:b/>
                <w:bCs/>
                <w:color w:val="000000"/>
                <w:sz w:val="18"/>
                <w:szCs w:val="18"/>
              </w:rPr>
              <w:t>SISTEMA PARA EL DESARROLLO INTEGRAL DE LA FAMILIA EN YUCATAN</w:t>
            </w:r>
          </w:p>
        </w:tc>
      </w:tr>
      <w:tr w:rsidR="001A3477" w:rsidTr="001A3477">
        <w:trPr>
          <w:trHeight w:val="240"/>
        </w:trPr>
        <w:tc>
          <w:tcPr>
            <w:tcW w:w="10505" w:type="dxa"/>
            <w:gridSpan w:val="4"/>
            <w:tcBorders>
              <w:top w:val="nil"/>
              <w:left w:val="single" w:sz="4" w:space="0" w:color="auto"/>
              <w:bottom w:val="nil"/>
              <w:right w:val="single" w:sz="4" w:space="0" w:color="000000"/>
            </w:tcBorders>
            <w:shd w:val="clear" w:color="000000" w:fill="BFBFBF"/>
            <w:vAlign w:val="center"/>
            <w:hideMark/>
          </w:tcPr>
          <w:p w:rsidR="001A3477" w:rsidRDefault="001A3477">
            <w:pPr>
              <w:jc w:val="center"/>
              <w:rPr>
                <w:rFonts w:ascii="Arial" w:hAnsi="Arial" w:cs="Arial"/>
                <w:b/>
                <w:bCs/>
                <w:color w:val="000000"/>
                <w:sz w:val="18"/>
                <w:szCs w:val="18"/>
              </w:rPr>
            </w:pPr>
            <w:r>
              <w:rPr>
                <w:rFonts w:ascii="Arial" w:hAnsi="Arial" w:cs="Arial"/>
                <w:b/>
                <w:bCs/>
                <w:color w:val="000000"/>
                <w:sz w:val="18"/>
                <w:szCs w:val="18"/>
              </w:rPr>
              <w:t>Conciliación entre los Ingresos Presupuestarios y Contables</w:t>
            </w:r>
          </w:p>
        </w:tc>
      </w:tr>
      <w:tr w:rsidR="001A3477" w:rsidTr="001A3477">
        <w:trPr>
          <w:trHeight w:val="240"/>
        </w:trPr>
        <w:tc>
          <w:tcPr>
            <w:tcW w:w="10505" w:type="dxa"/>
            <w:gridSpan w:val="4"/>
            <w:tcBorders>
              <w:top w:val="nil"/>
              <w:left w:val="single" w:sz="4" w:space="0" w:color="auto"/>
              <w:bottom w:val="nil"/>
              <w:right w:val="single" w:sz="4" w:space="0" w:color="000000"/>
            </w:tcBorders>
            <w:shd w:val="clear" w:color="000000" w:fill="BFBFBF"/>
            <w:noWrap/>
            <w:vAlign w:val="center"/>
            <w:hideMark/>
          </w:tcPr>
          <w:p w:rsidR="001A3477" w:rsidRDefault="001A3477">
            <w:pPr>
              <w:jc w:val="center"/>
              <w:rPr>
                <w:rFonts w:ascii="Arial" w:hAnsi="Arial" w:cs="Arial"/>
                <w:b/>
                <w:bCs/>
                <w:color w:val="000000"/>
                <w:sz w:val="18"/>
                <w:szCs w:val="18"/>
              </w:rPr>
            </w:pPr>
            <w:r>
              <w:rPr>
                <w:rFonts w:ascii="Arial" w:hAnsi="Arial" w:cs="Arial"/>
                <w:b/>
                <w:bCs/>
                <w:color w:val="000000"/>
                <w:sz w:val="18"/>
                <w:szCs w:val="18"/>
              </w:rPr>
              <w:t>Correspondiente del 1 de Enero al 30 de Junio de 2019</w:t>
            </w:r>
          </w:p>
        </w:tc>
      </w:tr>
      <w:tr w:rsidR="001A3477" w:rsidTr="001A3477">
        <w:trPr>
          <w:trHeight w:val="240"/>
        </w:trPr>
        <w:tc>
          <w:tcPr>
            <w:tcW w:w="10505"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1A3477" w:rsidRDefault="001A3477">
            <w:pPr>
              <w:jc w:val="center"/>
              <w:rPr>
                <w:rFonts w:ascii="Arial" w:hAnsi="Arial" w:cs="Arial"/>
                <w:b/>
                <w:bCs/>
                <w:color w:val="000000"/>
                <w:sz w:val="18"/>
                <w:szCs w:val="18"/>
              </w:rPr>
            </w:pPr>
            <w:r>
              <w:rPr>
                <w:rFonts w:ascii="Arial" w:hAnsi="Arial" w:cs="Arial"/>
                <w:b/>
                <w:bCs/>
                <w:color w:val="000000"/>
                <w:sz w:val="18"/>
                <w:szCs w:val="18"/>
              </w:rPr>
              <w:t>(Cifras en pesos)</w:t>
            </w:r>
          </w:p>
        </w:tc>
      </w:tr>
      <w:tr w:rsidR="001A3477" w:rsidTr="001A3477">
        <w:trPr>
          <w:trHeight w:val="240"/>
        </w:trPr>
        <w:tc>
          <w:tcPr>
            <w:tcW w:w="723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1A3477" w:rsidRDefault="001A3477">
            <w:pPr>
              <w:rPr>
                <w:rFonts w:ascii="Arial" w:hAnsi="Arial" w:cs="Arial"/>
                <w:b/>
                <w:bCs/>
                <w:color w:val="000000"/>
                <w:sz w:val="18"/>
                <w:szCs w:val="18"/>
              </w:rPr>
            </w:pPr>
            <w:r>
              <w:rPr>
                <w:rFonts w:ascii="Arial" w:hAnsi="Arial" w:cs="Arial"/>
                <w:b/>
                <w:bCs/>
                <w:color w:val="000000"/>
                <w:sz w:val="18"/>
                <w:szCs w:val="18"/>
              </w:rPr>
              <w:t>1. Ingresos Presupuestarios</w:t>
            </w:r>
          </w:p>
        </w:tc>
        <w:tc>
          <w:tcPr>
            <w:tcW w:w="1429" w:type="dxa"/>
            <w:tcBorders>
              <w:top w:val="nil"/>
              <w:left w:val="nil"/>
              <w:bottom w:val="nil"/>
              <w:right w:val="nil"/>
            </w:tcBorders>
            <w:shd w:val="clear" w:color="auto" w:fill="auto"/>
            <w:noWrap/>
            <w:vAlign w:val="bottom"/>
            <w:hideMark/>
          </w:tcPr>
          <w:p w:rsidR="001A3477" w:rsidRDefault="001A3477">
            <w:pPr>
              <w:jc w:val="right"/>
              <w:rPr>
                <w:rFonts w:ascii="Arial" w:hAnsi="Arial" w:cs="Arial"/>
                <w:color w:val="000000"/>
                <w:sz w:val="18"/>
                <w:szCs w:val="18"/>
              </w:rPr>
            </w:pPr>
          </w:p>
        </w:tc>
        <w:tc>
          <w:tcPr>
            <w:tcW w:w="1843" w:type="dxa"/>
            <w:tcBorders>
              <w:top w:val="nil"/>
              <w:left w:val="single" w:sz="4" w:space="0" w:color="auto"/>
              <w:bottom w:val="single" w:sz="4" w:space="0" w:color="auto"/>
              <w:right w:val="single" w:sz="4" w:space="0" w:color="auto"/>
            </w:tcBorders>
            <w:shd w:val="clear" w:color="000000" w:fill="BFBFBF"/>
            <w:noWrap/>
            <w:vAlign w:val="center"/>
            <w:hideMark/>
          </w:tcPr>
          <w:p w:rsidR="001A3477" w:rsidRDefault="001A3477">
            <w:pPr>
              <w:jc w:val="right"/>
              <w:rPr>
                <w:rFonts w:ascii="Arial" w:hAnsi="Arial" w:cs="Arial"/>
                <w:b/>
                <w:bCs/>
                <w:color w:val="000000"/>
                <w:sz w:val="18"/>
                <w:szCs w:val="18"/>
              </w:rPr>
            </w:pPr>
            <w:r>
              <w:rPr>
                <w:rFonts w:ascii="Arial" w:hAnsi="Arial" w:cs="Arial"/>
                <w:b/>
                <w:bCs/>
                <w:color w:val="000000"/>
                <w:sz w:val="18"/>
                <w:szCs w:val="18"/>
              </w:rPr>
              <w:t>256,659,549</w:t>
            </w:r>
          </w:p>
        </w:tc>
      </w:tr>
      <w:tr w:rsidR="001A3477" w:rsidTr="001A3477">
        <w:trPr>
          <w:trHeight w:val="240"/>
        </w:trPr>
        <w:tc>
          <w:tcPr>
            <w:tcW w:w="7233" w:type="dxa"/>
            <w:gridSpan w:val="2"/>
            <w:tcBorders>
              <w:top w:val="nil"/>
              <w:left w:val="nil"/>
              <w:bottom w:val="nil"/>
              <w:right w:val="nil"/>
            </w:tcBorders>
            <w:shd w:val="clear" w:color="000000" w:fill="FFFFFF"/>
            <w:noWrap/>
            <w:vAlign w:val="bottom"/>
            <w:hideMark/>
          </w:tcPr>
          <w:p w:rsidR="001A3477" w:rsidRDefault="001A3477">
            <w:pPr>
              <w:rPr>
                <w:rFonts w:ascii="Arial" w:hAnsi="Arial" w:cs="Arial"/>
                <w:color w:val="000000"/>
                <w:sz w:val="18"/>
                <w:szCs w:val="18"/>
              </w:rPr>
            </w:pPr>
            <w:r>
              <w:rPr>
                <w:rFonts w:ascii="Arial" w:hAnsi="Arial" w:cs="Arial"/>
                <w:color w:val="000000"/>
                <w:sz w:val="18"/>
                <w:szCs w:val="18"/>
              </w:rPr>
              <w:t> </w:t>
            </w:r>
          </w:p>
        </w:tc>
        <w:tc>
          <w:tcPr>
            <w:tcW w:w="1429" w:type="dxa"/>
            <w:tcBorders>
              <w:top w:val="nil"/>
              <w:left w:val="nil"/>
              <w:bottom w:val="nil"/>
              <w:right w:val="nil"/>
            </w:tcBorders>
            <w:shd w:val="clear" w:color="000000" w:fill="FFFFFF"/>
            <w:noWrap/>
            <w:vAlign w:val="bottom"/>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c>
          <w:tcPr>
            <w:tcW w:w="1843" w:type="dxa"/>
            <w:tcBorders>
              <w:top w:val="nil"/>
              <w:left w:val="nil"/>
              <w:bottom w:val="nil"/>
              <w:right w:val="nil"/>
            </w:tcBorders>
            <w:shd w:val="clear" w:color="000000" w:fill="FFFFFF"/>
            <w:noWrap/>
            <w:vAlign w:val="bottom"/>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r>
      <w:tr w:rsidR="001A3477" w:rsidTr="001A3477">
        <w:trPr>
          <w:trHeight w:val="240"/>
        </w:trPr>
        <w:tc>
          <w:tcPr>
            <w:tcW w:w="72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3477" w:rsidRDefault="001A3477">
            <w:pPr>
              <w:rPr>
                <w:rFonts w:ascii="Arial" w:hAnsi="Arial" w:cs="Arial"/>
                <w:b/>
                <w:bCs/>
                <w:color w:val="000000"/>
                <w:sz w:val="18"/>
                <w:szCs w:val="18"/>
              </w:rPr>
            </w:pPr>
            <w:r>
              <w:rPr>
                <w:rFonts w:ascii="Arial" w:hAnsi="Arial" w:cs="Arial"/>
                <w:b/>
                <w:bCs/>
                <w:color w:val="000000"/>
                <w:sz w:val="18"/>
                <w:szCs w:val="18"/>
              </w:rPr>
              <w:t>2. Más ingresos contables no presupuestarios</w:t>
            </w:r>
          </w:p>
        </w:tc>
        <w:tc>
          <w:tcPr>
            <w:tcW w:w="1429" w:type="dxa"/>
            <w:tcBorders>
              <w:top w:val="single" w:sz="4" w:space="0" w:color="auto"/>
              <w:left w:val="nil"/>
              <w:bottom w:val="single" w:sz="4" w:space="0" w:color="auto"/>
              <w:right w:val="single" w:sz="4" w:space="0" w:color="auto"/>
            </w:tcBorders>
            <w:shd w:val="clear" w:color="000000" w:fill="FFFFFF"/>
            <w:noWrap/>
            <w:vAlign w:val="bottom"/>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0</w:t>
            </w:r>
          </w:p>
        </w:tc>
      </w:tr>
      <w:tr w:rsidR="001A3477" w:rsidTr="001A3477">
        <w:trPr>
          <w:trHeight w:val="240"/>
        </w:trPr>
        <w:tc>
          <w:tcPr>
            <w:tcW w:w="673" w:type="dxa"/>
            <w:tcBorders>
              <w:top w:val="nil"/>
              <w:left w:val="single" w:sz="4" w:space="0" w:color="auto"/>
              <w:bottom w:val="single" w:sz="4" w:space="0" w:color="auto"/>
              <w:right w:val="nil"/>
            </w:tcBorders>
            <w:shd w:val="clear" w:color="000000" w:fill="FFFFFF"/>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 </w:t>
            </w:r>
          </w:p>
        </w:tc>
        <w:tc>
          <w:tcPr>
            <w:tcW w:w="6560" w:type="dxa"/>
            <w:tcBorders>
              <w:top w:val="nil"/>
              <w:left w:val="nil"/>
              <w:bottom w:val="single" w:sz="4" w:space="0" w:color="auto"/>
              <w:right w:val="single" w:sz="4" w:space="0" w:color="auto"/>
            </w:tcBorders>
            <w:shd w:val="clear" w:color="000000" w:fill="FFFFFF"/>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 xml:space="preserve">2.1 Ingresos Financieros </w:t>
            </w:r>
          </w:p>
        </w:tc>
        <w:tc>
          <w:tcPr>
            <w:tcW w:w="1429" w:type="dxa"/>
            <w:tcBorders>
              <w:top w:val="nil"/>
              <w:left w:val="nil"/>
              <w:bottom w:val="single" w:sz="4" w:space="0" w:color="auto"/>
              <w:right w:val="single" w:sz="4" w:space="0" w:color="auto"/>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0</w:t>
            </w:r>
          </w:p>
        </w:tc>
        <w:tc>
          <w:tcPr>
            <w:tcW w:w="1843" w:type="dxa"/>
            <w:tcBorders>
              <w:top w:val="nil"/>
              <w:left w:val="nil"/>
              <w:bottom w:val="nil"/>
              <w:right w:val="nil"/>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r>
      <w:tr w:rsidR="001A3477" w:rsidTr="001A3477">
        <w:trPr>
          <w:trHeight w:val="240"/>
        </w:trPr>
        <w:tc>
          <w:tcPr>
            <w:tcW w:w="673" w:type="dxa"/>
            <w:tcBorders>
              <w:top w:val="nil"/>
              <w:left w:val="single" w:sz="4" w:space="0" w:color="auto"/>
              <w:bottom w:val="single" w:sz="4" w:space="0" w:color="auto"/>
              <w:right w:val="nil"/>
            </w:tcBorders>
            <w:shd w:val="clear" w:color="000000" w:fill="FFFFFF"/>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 </w:t>
            </w:r>
          </w:p>
        </w:tc>
        <w:tc>
          <w:tcPr>
            <w:tcW w:w="6560" w:type="dxa"/>
            <w:tcBorders>
              <w:top w:val="nil"/>
              <w:left w:val="nil"/>
              <w:bottom w:val="single" w:sz="4" w:space="0" w:color="auto"/>
              <w:right w:val="single" w:sz="4" w:space="0" w:color="auto"/>
            </w:tcBorders>
            <w:shd w:val="clear" w:color="000000" w:fill="FFFFFF"/>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2.2 Incremento por Variación de Inventarios</w:t>
            </w:r>
          </w:p>
        </w:tc>
        <w:tc>
          <w:tcPr>
            <w:tcW w:w="1429" w:type="dxa"/>
            <w:tcBorders>
              <w:top w:val="nil"/>
              <w:left w:val="nil"/>
              <w:bottom w:val="single" w:sz="4" w:space="0" w:color="auto"/>
              <w:right w:val="single" w:sz="4" w:space="0" w:color="auto"/>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c>
          <w:tcPr>
            <w:tcW w:w="1843" w:type="dxa"/>
            <w:tcBorders>
              <w:top w:val="nil"/>
              <w:left w:val="nil"/>
              <w:bottom w:val="nil"/>
              <w:right w:val="nil"/>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r>
      <w:tr w:rsidR="001A3477" w:rsidTr="001A3477">
        <w:trPr>
          <w:trHeight w:val="480"/>
        </w:trPr>
        <w:tc>
          <w:tcPr>
            <w:tcW w:w="673" w:type="dxa"/>
            <w:tcBorders>
              <w:top w:val="nil"/>
              <w:left w:val="single" w:sz="4" w:space="0" w:color="auto"/>
              <w:bottom w:val="single" w:sz="4" w:space="0" w:color="auto"/>
              <w:right w:val="nil"/>
            </w:tcBorders>
            <w:shd w:val="clear" w:color="000000" w:fill="FFFFFF"/>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 </w:t>
            </w:r>
          </w:p>
        </w:tc>
        <w:tc>
          <w:tcPr>
            <w:tcW w:w="6560" w:type="dxa"/>
            <w:tcBorders>
              <w:top w:val="nil"/>
              <w:left w:val="nil"/>
              <w:bottom w:val="single" w:sz="4" w:space="0" w:color="auto"/>
              <w:right w:val="single" w:sz="4" w:space="0" w:color="auto"/>
            </w:tcBorders>
            <w:shd w:val="clear" w:color="000000" w:fill="FFFFFF"/>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2.3 Disminución del exceso de estimaciones por pérdida o deterioro u obsolescencia</w:t>
            </w:r>
          </w:p>
        </w:tc>
        <w:tc>
          <w:tcPr>
            <w:tcW w:w="1429" w:type="dxa"/>
            <w:tcBorders>
              <w:top w:val="nil"/>
              <w:left w:val="nil"/>
              <w:bottom w:val="single" w:sz="4" w:space="0" w:color="auto"/>
              <w:right w:val="single" w:sz="4" w:space="0" w:color="auto"/>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0</w:t>
            </w:r>
          </w:p>
        </w:tc>
        <w:tc>
          <w:tcPr>
            <w:tcW w:w="1843" w:type="dxa"/>
            <w:tcBorders>
              <w:top w:val="nil"/>
              <w:left w:val="nil"/>
              <w:bottom w:val="nil"/>
              <w:right w:val="nil"/>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r>
      <w:tr w:rsidR="001A3477" w:rsidTr="001A3477">
        <w:trPr>
          <w:trHeight w:val="240"/>
        </w:trPr>
        <w:tc>
          <w:tcPr>
            <w:tcW w:w="673" w:type="dxa"/>
            <w:tcBorders>
              <w:top w:val="nil"/>
              <w:left w:val="single" w:sz="4" w:space="0" w:color="auto"/>
              <w:bottom w:val="single" w:sz="4" w:space="0" w:color="auto"/>
              <w:right w:val="nil"/>
            </w:tcBorders>
            <w:shd w:val="clear" w:color="000000" w:fill="FFFFFF"/>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 </w:t>
            </w:r>
          </w:p>
        </w:tc>
        <w:tc>
          <w:tcPr>
            <w:tcW w:w="6560" w:type="dxa"/>
            <w:tcBorders>
              <w:top w:val="nil"/>
              <w:left w:val="nil"/>
              <w:bottom w:val="single" w:sz="4" w:space="0" w:color="auto"/>
              <w:right w:val="single" w:sz="4" w:space="0" w:color="auto"/>
            </w:tcBorders>
            <w:shd w:val="clear" w:color="000000" w:fill="FFFFFF"/>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2.4 Disminución del exceso de provisiones</w:t>
            </w:r>
          </w:p>
        </w:tc>
        <w:tc>
          <w:tcPr>
            <w:tcW w:w="1429" w:type="dxa"/>
            <w:tcBorders>
              <w:top w:val="nil"/>
              <w:left w:val="nil"/>
              <w:bottom w:val="single" w:sz="4" w:space="0" w:color="auto"/>
              <w:right w:val="single" w:sz="4" w:space="0" w:color="auto"/>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0</w:t>
            </w:r>
          </w:p>
        </w:tc>
        <w:tc>
          <w:tcPr>
            <w:tcW w:w="1843" w:type="dxa"/>
            <w:tcBorders>
              <w:top w:val="nil"/>
              <w:left w:val="nil"/>
              <w:bottom w:val="nil"/>
              <w:right w:val="nil"/>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r>
      <w:tr w:rsidR="001A3477" w:rsidTr="001A3477">
        <w:trPr>
          <w:trHeight w:val="240"/>
        </w:trPr>
        <w:tc>
          <w:tcPr>
            <w:tcW w:w="673" w:type="dxa"/>
            <w:tcBorders>
              <w:top w:val="nil"/>
              <w:left w:val="single" w:sz="4" w:space="0" w:color="auto"/>
              <w:bottom w:val="single" w:sz="4" w:space="0" w:color="auto"/>
              <w:right w:val="nil"/>
            </w:tcBorders>
            <w:shd w:val="clear" w:color="000000" w:fill="FFFFFF"/>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 </w:t>
            </w:r>
          </w:p>
        </w:tc>
        <w:tc>
          <w:tcPr>
            <w:tcW w:w="6560" w:type="dxa"/>
            <w:tcBorders>
              <w:top w:val="nil"/>
              <w:left w:val="nil"/>
              <w:bottom w:val="single" w:sz="4" w:space="0" w:color="auto"/>
              <w:right w:val="single" w:sz="4" w:space="0" w:color="auto"/>
            </w:tcBorders>
            <w:shd w:val="clear" w:color="000000" w:fill="FFFFFF"/>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2.5 Otros ingresos y beneficios varios</w:t>
            </w:r>
          </w:p>
        </w:tc>
        <w:tc>
          <w:tcPr>
            <w:tcW w:w="1429" w:type="dxa"/>
            <w:tcBorders>
              <w:top w:val="nil"/>
              <w:left w:val="nil"/>
              <w:bottom w:val="single" w:sz="4" w:space="0" w:color="auto"/>
              <w:right w:val="single" w:sz="4" w:space="0" w:color="auto"/>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0</w:t>
            </w:r>
          </w:p>
        </w:tc>
        <w:tc>
          <w:tcPr>
            <w:tcW w:w="1843" w:type="dxa"/>
            <w:tcBorders>
              <w:top w:val="nil"/>
              <w:left w:val="nil"/>
              <w:bottom w:val="nil"/>
              <w:right w:val="nil"/>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r>
      <w:tr w:rsidR="001A3477" w:rsidTr="001A3477">
        <w:trPr>
          <w:trHeight w:val="240"/>
        </w:trPr>
        <w:tc>
          <w:tcPr>
            <w:tcW w:w="72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 xml:space="preserve"> 2.6 Otros ingresos contables no presupuestarios</w:t>
            </w:r>
          </w:p>
        </w:tc>
        <w:tc>
          <w:tcPr>
            <w:tcW w:w="1429" w:type="dxa"/>
            <w:tcBorders>
              <w:top w:val="nil"/>
              <w:left w:val="nil"/>
              <w:bottom w:val="single" w:sz="4" w:space="0" w:color="auto"/>
              <w:right w:val="single" w:sz="4" w:space="0" w:color="auto"/>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0</w:t>
            </w:r>
          </w:p>
        </w:tc>
        <w:tc>
          <w:tcPr>
            <w:tcW w:w="1843" w:type="dxa"/>
            <w:tcBorders>
              <w:top w:val="nil"/>
              <w:left w:val="nil"/>
              <w:bottom w:val="nil"/>
              <w:right w:val="nil"/>
            </w:tcBorders>
            <w:shd w:val="clear" w:color="000000" w:fill="FFFFFF"/>
            <w:noWrap/>
            <w:vAlign w:val="bottom"/>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r>
      <w:tr w:rsidR="001A3477" w:rsidTr="001A3477">
        <w:trPr>
          <w:trHeight w:val="240"/>
        </w:trPr>
        <w:tc>
          <w:tcPr>
            <w:tcW w:w="7233" w:type="dxa"/>
            <w:gridSpan w:val="2"/>
            <w:tcBorders>
              <w:top w:val="nil"/>
              <w:left w:val="nil"/>
              <w:bottom w:val="nil"/>
              <w:right w:val="nil"/>
            </w:tcBorders>
            <w:shd w:val="clear" w:color="000000" w:fill="FFFFFF"/>
            <w:noWrap/>
            <w:vAlign w:val="bottom"/>
            <w:hideMark/>
          </w:tcPr>
          <w:p w:rsidR="001A3477" w:rsidRDefault="001A3477">
            <w:pPr>
              <w:rPr>
                <w:rFonts w:ascii="Arial" w:hAnsi="Arial" w:cs="Arial"/>
                <w:color w:val="000000"/>
                <w:sz w:val="18"/>
                <w:szCs w:val="18"/>
              </w:rPr>
            </w:pPr>
            <w:r>
              <w:rPr>
                <w:rFonts w:ascii="Arial" w:hAnsi="Arial" w:cs="Arial"/>
                <w:color w:val="000000"/>
                <w:sz w:val="18"/>
                <w:szCs w:val="18"/>
              </w:rPr>
              <w:t> </w:t>
            </w:r>
          </w:p>
        </w:tc>
        <w:tc>
          <w:tcPr>
            <w:tcW w:w="1429" w:type="dxa"/>
            <w:tcBorders>
              <w:top w:val="nil"/>
              <w:left w:val="nil"/>
              <w:bottom w:val="nil"/>
              <w:right w:val="nil"/>
            </w:tcBorders>
            <w:shd w:val="clear" w:color="000000" w:fill="FFFFFF"/>
            <w:noWrap/>
            <w:vAlign w:val="bottom"/>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0</w:t>
            </w:r>
          </w:p>
        </w:tc>
      </w:tr>
      <w:tr w:rsidR="001A3477" w:rsidTr="001A3477">
        <w:trPr>
          <w:trHeight w:val="240"/>
        </w:trPr>
        <w:tc>
          <w:tcPr>
            <w:tcW w:w="72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3477" w:rsidRDefault="001A3477">
            <w:pPr>
              <w:rPr>
                <w:rFonts w:ascii="Arial" w:hAnsi="Arial" w:cs="Arial"/>
                <w:b/>
                <w:bCs/>
                <w:color w:val="000000"/>
                <w:sz w:val="18"/>
                <w:szCs w:val="18"/>
              </w:rPr>
            </w:pPr>
            <w:r>
              <w:rPr>
                <w:rFonts w:ascii="Arial" w:hAnsi="Arial" w:cs="Arial"/>
                <w:b/>
                <w:bCs/>
                <w:color w:val="000000"/>
                <w:sz w:val="18"/>
                <w:szCs w:val="18"/>
              </w:rPr>
              <w:t>3. Menos ingresos presupuestarios no contables</w:t>
            </w:r>
          </w:p>
        </w:tc>
        <w:tc>
          <w:tcPr>
            <w:tcW w:w="1429" w:type="dxa"/>
            <w:tcBorders>
              <w:top w:val="single" w:sz="4" w:space="0" w:color="auto"/>
              <w:left w:val="nil"/>
              <w:bottom w:val="single" w:sz="4" w:space="0" w:color="auto"/>
              <w:right w:val="single" w:sz="4" w:space="0" w:color="auto"/>
            </w:tcBorders>
            <w:shd w:val="clear" w:color="000000" w:fill="FFFFFF"/>
            <w:noWrap/>
            <w:vAlign w:val="bottom"/>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c>
          <w:tcPr>
            <w:tcW w:w="1843" w:type="dxa"/>
            <w:tcBorders>
              <w:top w:val="nil"/>
              <w:left w:val="nil"/>
              <w:bottom w:val="nil"/>
              <w:right w:val="nil"/>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r>
      <w:tr w:rsidR="001A3477" w:rsidTr="001A3477">
        <w:trPr>
          <w:trHeight w:val="240"/>
        </w:trPr>
        <w:tc>
          <w:tcPr>
            <w:tcW w:w="673" w:type="dxa"/>
            <w:tcBorders>
              <w:top w:val="nil"/>
              <w:left w:val="single" w:sz="4" w:space="0" w:color="auto"/>
              <w:bottom w:val="single" w:sz="4" w:space="0" w:color="auto"/>
              <w:right w:val="nil"/>
            </w:tcBorders>
            <w:shd w:val="clear" w:color="000000" w:fill="FFFFFF"/>
            <w:noWrap/>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 </w:t>
            </w:r>
          </w:p>
        </w:tc>
        <w:tc>
          <w:tcPr>
            <w:tcW w:w="6560" w:type="dxa"/>
            <w:tcBorders>
              <w:top w:val="nil"/>
              <w:left w:val="nil"/>
              <w:bottom w:val="single" w:sz="4" w:space="0" w:color="auto"/>
              <w:right w:val="single" w:sz="4" w:space="0" w:color="auto"/>
            </w:tcBorders>
            <w:shd w:val="clear" w:color="000000" w:fill="FFFFFF"/>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3.1 Aprovechamientos Patrimoniales</w:t>
            </w:r>
          </w:p>
        </w:tc>
        <w:tc>
          <w:tcPr>
            <w:tcW w:w="1429" w:type="dxa"/>
            <w:tcBorders>
              <w:top w:val="nil"/>
              <w:left w:val="nil"/>
              <w:bottom w:val="single" w:sz="4" w:space="0" w:color="auto"/>
              <w:right w:val="single" w:sz="4" w:space="0" w:color="auto"/>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0</w:t>
            </w:r>
          </w:p>
        </w:tc>
        <w:tc>
          <w:tcPr>
            <w:tcW w:w="1843" w:type="dxa"/>
            <w:tcBorders>
              <w:top w:val="nil"/>
              <w:left w:val="nil"/>
              <w:bottom w:val="nil"/>
              <w:right w:val="nil"/>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r>
      <w:tr w:rsidR="001A3477" w:rsidTr="001A3477">
        <w:trPr>
          <w:trHeight w:val="240"/>
        </w:trPr>
        <w:tc>
          <w:tcPr>
            <w:tcW w:w="673" w:type="dxa"/>
            <w:tcBorders>
              <w:top w:val="nil"/>
              <w:left w:val="single" w:sz="4" w:space="0" w:color="auto"/>
              <w:bottom w:val="single" w:sz="4" w:space="0" w:color="auto"/>
              <w:right w:val="nil"/>
            </w:tcBorders>
            <w:shd w:val="clear" w:color="000000" w:fill="FFFFFF"/>
            <w:noWrap/>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 </w:t>
            </w:r>
          </w:p>
        </w:tc>
        <w:tc>
          <w:tcPr>
            <w:tcW w:w="6560" w:type="dxa"/>
            <w:tcBorders>
              <w:top w:val="nil"/>
              <w:left w:val="nil"/>
              <w:bottom w:val="single" w:sz="4" w:space="0" w:color="auto"/>
              <w:right w:val="single" w:sz="4" w:space="0" w:color="auto"/>
            </w:tcBorders>
            <w:shd w:val="clear" w:color="000000" w:fill="FFFFFF"/>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3.2 Ingresos derivados de financiamientos</w:t>
            </w:r>
          </w:p>
        </w:tc>
        <w:tc>
          <w:tcPr>
            <w:tcW w:w="1429" w:type="dxa"/>
            <w:tcBorders>
              <w:top w:val="nil"/>
              <w:left w:val="nil"/>
              <w:bottom w:val="single" w:sz="4" w:space="0" w:color="auto"/>
              <w:right w:val="single" w:sz="4" w:space="0" w:color="auto"/>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0</w:t>
            </w:r>
          </w:p>
        </w:tc>
        <w:tc>
          <w:tcPr>
            <w:tcW w:w="1843" w:type="dxa"/>
            <w:tcBorders>
              <w:top w:val="nil"/>
              <w:left w:val="nil"/>
              <w:bottom w:val="nil"/>
              <w:right w:val="nil"/>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r>
      <w:tr w:rsidR="001A3477" w:rsidTr="001A3477">
        <w:trPr>
          <w:trHeight w:val="240"/>
        </w:trPr>
        <w:tc>
          <w:tcPr>
            <w:tcW w:w="72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477" w:rsidRDefault="001A3477">
            <w:pPr>
              <w:ind w:firstLineChars="100" w:firstLine="180"/>
              <w:rPr>
                <w:rFonts w:ascii="Arial" w:hAnsi="Arial" w:cs="Arial"/>
                <w:color w:val="000000"/>
                <w:sz w:val="18"/>
                <w:szCs w:val="18"/>
              </w:rPr>
            </w:pPr>
            <w:r>
              <w:rPr>
                <w:rFonts w:ascii="Arial" w:hAnsi="Arial" w:cs="Arial"/>
                <w:color w:val="000000"/>
                <w:sz w:val="18"/>
                <w:szCs w:val="18"/>
              </w:rPr>
              <w:t>3.3 Otros Ingresos presupuestarios no contables</w:t>
            </w:r>
          </w:p>
        </w:tc>
        <w:tc>
          <w:tcPr>
            <w:tcW w:w="1429" w:type="dxa"/>
            <w:tcBorders>
              <w:top w:val="nil"/>
              <w:left w:val="nil"/>
              <w:bottom w:val="single" w:sz="4" w:space="0" w:color="auto"/>
              <w:right w:val="single" w:sz="4" w:space="0" w:color="auto"/>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0</w:t>
            </w:r>
          </w:p>
        </w:tc>
        <w:tc>
          <w:tcPr>
            <w:tcW w:w="1843" w:type="dxa"/>
            <w:tcBorders>
              <w:top w:val="nil"/>
              <w:left w:val="nil"/>
              <w:bottom w:val="nil"/>
              <w:right w:val="nil"/>
            </w:tcBorders>
            <w:shd w:val="clear" w:color="000000" w:fill="FFFFFF"/>
            <w:noWrap/>
            <w:vAlign w:val="center"/>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r>
      <w:tr w:rsidR="001A3477" w:rsidTr="001A3477">
        <w:trPr>
          <w:trHeight w:val="240"/>
        </w:trPr>
        <w:tc>
          <w:tcPr>
            <w:tcW w:w="7233" w:type="dxa"/>
            <w:gridSpan w:val="2"/>
            <w:tcBorders>
              <w:top w:val="nil"/>
              <w:left w:val="nil"/>
              <w:bottom w:val="nil"/>
              <w:right w:val="nil"/>
            </w:tcBorders>
            <w:shd w:val="clear" w:color="000000" w:fill="FFFFFF"/>
            <w:noWrap/>
            <w:vAlign w:val="bottom"/>
            <w:hideMark/>
          </w:tcPr>
          <w:p w:rsidR="001A3477" w:rsidRDefault="001A3477">
            <w:pPr>
              <w:rPr>
                <w:rFonts w:ascii="Arial" w:hAnsi="Arial" w:cs="Arial"/>
                <w:color w:val="000000"/>
                <w:sz w:val="18"/>
                <w:szCs w:val="18"/>
              </w:rPr>
            </w:pPr>
            <w:r>
              <w:rPr>
                <w:rFonts w:ascii="Arial" w:hAnsi="Arial" w:cs="Arial"/>
                <w:color w:val="000000"/>
                <w:sz w:val="18"/>
                <w:szCs w:val="18"/>
              </w:rPr>
              <w:t> </w:t>
            </w:r>
          </w:p>
        </w:tc>
        <w:tc>
          <w:tcPr>
            <w:tcW w:w="1429" w:type="dxa"/>
            <w:tcBorders>
              <w:top w:val="nil"/>
              <w:left w:val="nil"/>
              <w:bottom w:val="nil"/>
              <w:right w:val="nil"/>
            </w:tcBorders>
            <w:shd w:val="clear" w:color="000000" w:fill="FFFFFF"/>
            <w:noWrap/>
            <w:vAlign w:val="bottom"/>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c>
          <w:tcPr>
            <w:tcW w:w="1843" w:type="dxa"/>
            <w:tcBorders>
              <w:top w:val="nil"/>
              <w:left w:val="nil"/>
              <w:bottom w:val="nil"/>
              <w:right w:val="nil"/>
            </w:tcBorders>
            <w:shd w:val="clear" w:color="000000" w:fill="FFFFFF"/>
            <w:noWrap/>
            <w:vAlign w:val="bottom"/>
            <w:hideMark/>
          </w:tcPr>
          <w:p w:rsidR="001A3477" w:rsidRDefault="001A3477">
            <w:pPr>
              <w:jc w:val="right"/>
              <w:rPr>
                <w:rFonts w:ascii="Arial" w:hAnsi="Arial" w:cs="Arial"/>
                <w:color w:val="000000"/>
                <w:sz w:val="18"/>
                <w:szCs w:val="18"/>
              </w:rPr>
            </w:pPr>
            <w:r>
              <w:rPr>
                <w:rFonts w:ascii="Arial" w:hAnsi="Arial" w:cs="Arial"/>
                <w:color w:val="000000"/>
                <w:sz w:val="18"/>
                <w:szCs w:val="18"/>
              </w:rPr>
              <w:t> </w:t>
            </w:r>
          </w:p>
        </w:tc>
      </w:tr>
      <w:tr w:rsidR="001A3477" w:rsidTr="001A3477">
        <w:trPr>
          <w:trHeight w:val="240"/>
        </w:trPr>
        <w:tc>
          <w:tcPr>
            <w:tcW w:w="723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1A3477" w:rsidRDefault="001A3477">
            <w:pPr>
              <w:rPr>
                <w:rFonts w:ascii="Arial" w:hAnsi="Arial" w:cs="Arial"/>
                <w:b/>
                <w:bCs/>
                <w:color w:val="000000"/>
                <w:sz w:val="18"/>
                <w:szCs w:val="18"/>
              </w:rPr>
            </w:pPr>
            <w:r>
              <w:rPr>
                <w:rFonts w:ascii="Arial" w:hAnsi="Arial" w:cs="Arial"/>
                <w:b/>
                <w:bCs/>
                <w:color w:val="000000"/>
                <w:sz w:val="18"/>
                <w:szCs w:val="18"/>
              </w:rPr>
              <w:t>4. Ingresos Contables (4 = 1 + 2 - 3)</w:t>
            </w:r>
          </w:p>
        </w:tc>
        <w:tc>
          <w:tcPr>
            <w:tcW w:w="1429" w:type="dxa"/>
            <w:tcBorders>
              <w:top w:val="nil"/>
              <w:left w:val="nil"/>
              <w:bottom w:val="nil"/>
              <w:right w:val="nil"/>
            </w:tcBorders>
            <w:shd w:val="clear" w:color="auto" w:fill="auto"/>
            <w:noWrap/>
            <w:vAlign w:val="bottom"/>
            <w:hideMark/>
          </w:tcPr>
          <w:p w:rsidR="001A3477" w:rsidRDefault="001A3477">
            <w:pPr>
              <w:jc w:val="right"/>
              <w:rPr>
                <w:rFonts w:ascii="Arial" w:hAnsi="Arial" w:cs="Arial"/>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A3477" w:rsidRDefault="001A3477">
            <w:pPr>
              <w:jc w:val="right"/>
              <w:rPr>
                <w:rFonts w:ascii="Arial" w:hAnsi="Arial" w:cs="Arial"/>
                <w:b/>
                <w:bCs/>
                <w:color w:val="000000"/>
                <w:sz w:val="18"/>
                <w:szCs w:val="18"/>
              </w:rPr>
            </w:pPr>
            <w:r>
              <w:rPr>
                <w:rFonts w:ascii="Arial" w:hAnsi="Arial" w:cs="Arial"/>
                <w:b/>
                <w:bCs/>
                <w:color w:val="000000"/>
                <w:sz w:val="18"/>
                <w:szCs w:val="18"/>
              </w:rPr>
              <w:t>256,659,549</w:t>
            </w:r>
          </w:p>
        </w:tc>
      </w:tr>
    </w:tbl>
    <w:p w:rsidR="00DB062B" w:rsidRDefault="00DB062B" w:rsidP="00FE5FBD">
      <w:pPr>
        <w:jc w:val="both"/>
        <w:rPr>
          <w:rFonts w:asciiTheme="minorHAnsi" w:hAnsiTheme="minorHAnsi" w:cs="Arial"/>
          <w:b/>
          <w:bCs/>
          <w:i/>
          <w:iCs/>
          <w:color w:val="000000"/>
          <w:sz w:val="20"/>
          <w:szCs w:val="20"/>
          <w:lang w:val="es-MX" w:eastAsia="es-MX"/>
        </w:rPr>
      </w:pPr>
    </w:p>
    <w:p w:rsidR="001A3477" w:rsidRDefault="001A3477" w:rsidP="00FE5FBD">
      <w:pPr>
        <w:jc w:val="both"/>
        <w:rPr>
          <w:rFonts w:asciiTheme="minorHAnsi" w:hAnsiTheme="minorHAnsi" w:cs="Arial"/>
          <w:b/>
          <w:bCs/>
          <w:i/>
          <w:iCs/>
          <w:color w:val="000000"/>
          <w:sz w:val="20"/>
          <w:szCs w:val="20"/>
          <w:lang w:val="es-MX" w:eastAsia="es-MX"/>
        </w:rPr>
      </w:pPr>
    </w:p>
    <w:p w:rsidR="001A3477" w:rsidRDefault="001A3477" w:rsidP="00FE5FBD">
      <w:pPr>
        <w:jc w:val="both"/>
        <w:rPr>
          <w:rFonts w:asciiTheme="minorHAnsi" w:hAnsiTheme="minorHAnsi" w:cs="Arial"/>
          <w:b/>
          <w:bCs/>
          <w:i/>
          <w:iCs/>
          <w:color w:val="000000"/>
          <w:sz w:val="20"/>
          <w:szCs w:val="20"/>
          <w:lang w:val="es-MX" w:eastAsia="es-MX"/>
        </w:rPr>
      </w:pPr>
    </w:p>
    <w:p w:rsidR="001A3477" w:rsidRDefault="001A3477" w:rsidP="00FE5FBD">
      <w:pPr>
        <w:jc w:val="both"/>
        <w:rPr>
          <w:rFonts w:asciiTheme="minorHAnsi" w:hAnsiTheme="minorHAnsi" w:cs="Arial"/>
          <w:b/>
          <w:bCs/>
          <w:i/>
          <w:iCs/>
          <w:color w:val="000000"/>
          <w:sz w:val="20"/>
          <w:szCs w:val="20"/>
          <w:lang w:val="es-MX" w:eastAsia="es-MX"/>
        </w:rPr>
      </w:pPr>
    </w:p>
    <w:p w:rsidR="001A3477" w:rsidRDefault="001A3477" w:rsidP="00FE5FBD">
      <w:pPr>
        <w:jc w:val="both"/>
        <w:rPr>
          <w:rFonts w:asciiTheme="minorHAnsi" w:hAnsiTheme="minorHAnsi" w:cs="Arial"/>
          <w:b/>
          <w:bCs/>
          <w:i/>
          <w:iCs/>
          <w:color w:val="000000"/>
          <w:sz w:val="20"/>
          <w:szCs w:val="20"/>
          <w:lang w:val="es-MX" w:eastAsia="es-MX"/>
        </w:rPr>
      </w:pPr>
    </w:p>
    <w:p w:rsidR="00340290" w:rsidRPr="006E4B35" w:rsidRDefault="00252CCB" w:rsidP="00E57B97">
      <w:pPr>
        <w:pStyle w:val="Prrafodelista"/>
        <w:numPr>
          <w:ilvl w:val="0"/>
          <w:numId w:val="9"/>
        </w:numPr>
        <w:rPr>
          <w:rFonts w:ascii="Barlow" w:hAnsi="Barlow"/>
          <w:b/>
          <w:sz w:val="20"/>
          <w:szCs w:val="20"/>
        </w:rPr>
      </w:pPr>
      <w:r w:rsidRPr="006E4B35">
        <w:rPr>
          <w:rFonts w:ascii="Barlow" w:hAnsi="Barlow"/>
          <w:b/>
          <w:sz w:val="20"/>
          <w:szCs w:val="20"/>
        </w:rPr>
        <w:lastRenderedPageBreak/>
        <w:t>NOTAS DE MEMORIA (CUENTAS DE ORDEN)</w:t>
      </w:r>
    </w:p>
    <w:p w:rsidR="0033700E" w:rsidRPr="006E4B35" w:rsidRDefault="0033700E" w:rsidP="00FE5FBD">
      <w:pPr>
        <w:jc w:val="center"/>
        <w:rPr>
          <w:rFonts w:ascii="Barlow" w:hAnsi="Barlow"/>
          <w:b/>
          <w:sz w:val="20"/>
          <w:szCs w:val="20"/>
        </w:rPr>
      </w:pPr>
    </w:p>
    <w:p w:rsidR="00D63B83" w:rsidRPr="006E4B35" w:rsidRDefault="00D63B83" w:rsidP="00D63B83">
      <w:pPr>
        <w:ind w:right="-36"/>
        <w:jc w:val="both"/>
        <w:rPr>
          <w:rFonts w:ascii="Barlow" w:hAnsi="Barlow"/>
          <w:sz w:val="20"/>
          <w:szCs w:val="20"/>
        </w:rPr>
      </w:pPr>
      <w:r w:rsidRPr="006E4B35">
        <w:rPr>
          <w:rFonts w:ascii="Barlow" w:hAnsi="Barlow"/>
          <w:sz w:val="20"/>
          <w:szCs w:val="20"/>
        </w:rPr>
        <w:t xml:space="preserve">En las cuentas de orden se encuentran registrado los provenientes de relaciones laborales ya comprometen las finanzas públicas y representa un pasivo contingente que puede generar una salida de efectivo una vez que sean detonados por los hechos que los condicionan. </w:t>
      </w:r>
    </w:p>
    <w:p w:rsidR="009D3CB7" w:rsidRPr="006E4B35" w:rsidRDefault="009D3CB7" w:rsidP="00D63B83">
      <w:pPr>
        <w:ind w:right="-36"/>
        <w:jc w:val="both"/>
        <w:rPr>
          <w:rFonts w:ascii="Barlow" w:hAnsi="Barlow"/>
          <w:sz w:val="20"/>
          <w:szCs w:val="20"/>
        </w:rPr>
      </w:pPr>
    </w:p>
    <w:tbl>
      <w:tblPr>
        <w:tblW w:w="10080" w:type="dxa"/>
        <w:tblInd w:w="55" w:type="dxa"/>
        <w:tblCellMar>
          <w:left w:w="70" w:type="dxa"/>
          <w:right w:w="70" w:type="dxa"/>
        </w:tblCellMar>
        <w:tblLook w:val="04A0"/>
      </w:tblPr>
      <w:tblGrid>
        <w:gridCol w:w="6234"/>
        <w:gridCol w:w="3846"/>
      </w:tblGrid>
      <w:tr w:rsidR="009D3CB7" w:rsidRPr="006E4B35" w:rsidTr="006E4B35">
        <w:trPr>
          <w:trHeight w:val="357"/>
        </w:trPr>
        <w:tc>
          <w:tcPr>
            <w:tcW w:w="6234" w:type="dxa"/>
            <w:shd w:val="clear" w:color="000000" w:fill="FFFFFF"/>
            <w:noWrap/>
            <w:hideMark/>
          </w:tcPr>
          <w:p w:rsidR="009D3CB7" w:rsidRPr="006E4B35" w:rsidRDefault="009D3CB7" w:rsidP="00953A63">
            <w:pPr>
              <w:rPr>
                <w:rFonts w:ascii="Barlow" w:hAnsi="Barlow" w:cs="Tahoma"/>
                <w:b/>
                <w:color w:val="000000"/>
                <w:sz w:val="20"/>
                <w:szCs w:val="20"/>
              </w:rPr>
            </w:pPr>
            <w:r w:rsidRPr="006E4B35">
              <w:rPr>
                <w:rFonts w:ascii="Barlow" w:hAnsi="Barlow" w:cs="Tahoma"/>
                <w:b/>
                <w:color w:val="000000"/>
                <w:sz w:val="20"/>
                <w:szCs w:val="20"/>
              </w:rPr>
              <w:t>CUENTAS DE ORDEN CONTABLES</w:t>
            </w:r>
          </w:p>
        </w:tc>
        <w:tc>
          <w:tcPr>
            <w:tcW w:w="3846" w:type="dxa"/>
            <w:shd w:val="clear" w:color="000000" w:fill="FFFFFF"/>
            <w:noWrap/>
            <w:hideMark/>
          </w:tcPr>
          <w:p w:rsidR="009D3CB7" w:rsidRPr="006E4B35" w:rsidRDefault="009D3CB7" w:rsidP="00953A63">
            <w:pPr>
              <w:rPr>
                <w:rFonts w:ascii="Barlow" w:hAnsi="Barlow" w:cs="Tahoma"/>
                <w:color w:val="000000"/>
                <w:sz w:val="18"/>
                <w:szCs w:val="18"/>
              </w:rPr>
            </w:pPr>
            <w:r w:rsidRPr="006E4B35">
              <w:rPr>
                <w:rFonts w:ascii="Barlow" w:hAnsi="Barlow" w:cs="Tahoma"/>
                <w:color w:val="000000"/>
                <w:sz w:val="18"/>
                <w:szCs w:val="18"/>
              </w:rPr>
              <w:t> </w:t>
            </w:r>
          </w:p>
        </w:tc>
      </w:tr>
      <w:tr w:rsidR="009D3CB7" w:rsidRPr="006E4B35" w:rsidTr="006E4B35">
        <w:trPr>
          <w:trHeight w:val="255"/>
        </w:trPr>
        <w:tc>
          <w:tcPr>
            <w:tcW w:w="6234" w:type="dxa"/>
            <w:shd w:val="clear" w:color="000000" w:fill="FFFFFF"/>
            <w:noWrap/>
            <w:hideMark/>
          </w:tcPr>
          <w:p w:rsidR="009D3CB7" w:rsidRPr="006E4B35" w:rsidRDefault="009D3CB7" w:rsidP="00953A63">
            <w:pPr>
              <w:rPr>
                <w:rFonts w:ascii="Barlow" w:hAnsi="Barlow" w:cs="Tahoma"/>
                <w:color w:val="000000"/>
                <w:sz w:val="18"/>
                <w:szCs w:val="18"/>
              </w:rPr>
            </w:pPr>
          </w:p>
        </w:tc>
        <w:tc>
          <w:tcPr>
            <w:tcW w:w="3846" w:type="dxa"/>
            <w:shd w:val="clear" w:color="000000" w:fill="FFFFFF"/>
            <w:noWrap/>
            <w:hideMark/>
          </w:tcPr>
          <w:p w:rsidR="009D3CB7" w:rsidRPr="006E4B35" w:rsidRDefault="009D3CB7" w:rsidP="00953A63">
            <w:pPr>
              <w:jc w:val="right"/>
              <w:rPr>
                <w:rFonts w:ascii="Barlow" w:hAnsi="Barlow" w:cs="Tahoma"/>
                <w:color w:val="000000"/>
                <w:sz w:val="18"/>
                <w:szCs w:val="18"/>
              </w:rPr>
            </w:pPr>
          </w:p>
        </w:tc>
      </w:tr>
      <w:tr w:rsidR="009D3CB7" w:rsidRPr="006E4B35" w:rsidTr="006E4B35">
        <w:trPr>
          <w:trHeight w:val="259"/>
        </w:trPr>
        <w:tc>
          <w:tcPr>
            <w:tcW w:w="6234" w:type="dxa"/>
            <w:shd w:val="clear" w:color="000000" w:fill="FFFFFF"/>
            <w:noWrap/>
            <w:hideMark/>
          </w:tcPr>
          <w:p w:rsidR="009D3CB7" w:rsidRPr="006E4B35" w:rsidRDefault="009D3CB7" w:rsidP="00953A63">
            <w:pPr>
              <w:rPr>
                <w:rFonts w:ascii="Barlow" w:hAnsi="Barlow" w:cs="Arial"/>
                <w:color w:val="000000"/>
                <w:sz w:val="20"/>
                <w:szCs w:val="20"/>
              </w:rPr>
            </w:pPr>
            <w:r w:rsidRPr="006E4B35">
              <w:rPr>
                <w:rFonts w:ascii="Barlow" w:hAnsi="Barlow" w:cs="Arial"/>
                <w:color w:val="000000"/>
                <w:sz w:val="20"/>
                <w:szCs w:val="20"/>
              </w:rPr>
              <w:t>DEMANDAS JUDICIAL EN PROCESO DE RESOLUCIÓN</w:t>
            </w:r>
          </w:p>
          <w:p w:rsidR="009D3CB7" w:rsidRPr="006E4B35" w:rsidRDefault="009D3CB7" w:rsidP="00953A63">
            <w:pPr>
              <w:rPr>
                <w:rFonts w:ascii="Barlow" w:hAnsi="Barlow" w:cs="Tahoma"/>
                <w:color w:val="000000"/>
                <w:sz w:val="20"/>
                <w:szCs w:val="20"/>
              </w:rPr>
            </w:pPr>
          </w:p>
        </w:tc>
        <w:tc>
          <w:tcPr>
            <w:tcW w:w="3846" w:type="dxa"/>
            <w:shd w:val="clear" w:color="000000" w:fill="FFFFFF"/>
            <w:noWrap/>
            <w:hideMark/>
          </w:tcPr>
          <w:p w:rsidR="009D3CB7" w:rsidRPr="006E4B35" w:rsidRDefault="009D3CB7" w:rsidP="00953A63">
            <w:pPr>
              <w:jc w:val="right"/>
              <w:rPr>
                <w:rFonts w:ascii="Barlow" w:hAnsi="Barlow" w:cs="Tahoma"/>
                <w:color w:val="000000"/>
                <w:sz w:val="20"/>
                <w:szCs w:val="20"/>
              </w:rPr>
            </w:pPr>
            <w:r w:rsidRPr="006E4B35">
              <w:rPr>
                <w:rFonts w:ascii="Barlow" w:hAnsi="Barlow" w:cs="Tahoma"/>
                <w:color w:val="000000"/>
                <w:sz w:val="20"/>
                <w:szCs w:val="20"/>
              </w:rPr>
              <w:t xml:space="preserve">             4,123,102.35 </w:t>
            </w:r>
          </w:p>
          <w:p w:rsidR="009D3CB7" w:rsidRPr="006E4B35" w:rsidRDefault="009D3CB7" w:rsidP="00953A63">
            <w:pPr>
              <w:rPr>
                <w:rFonts w:ascii="Barlow" w:hAnsi="Barlow" w:cs="Tahoma"/>
                <w:color w:val="000000"/>
                <w:sz w:val="18"/>
                <w:szCs w:val="18"/>
              </w:rPr>
            </w:pPr>
          </w:p>
        </w:tc>
      </w:tr>
    </w:tbl>
    <w:p w:rsidR="00856002" w:rsidRPr="006E4B35" w:rsidRDefault="00856002" w:rsidP="00D63B83">
      <w:pPr>
        <w:ind w:right="-36"/>
        <w:jc w:val="both"/>
        <w:rPr>
          <w:rFonts w:ascii="Barlow" w:hAnsi="Barlow"/>
          <w:sz w:val="20"/>
          <w:szCs w:val="20"/>
        </w:rPr>
      </w:pPr>
    </w:p>
    <w:p w:rsidR="00FE5FBD" w:rsidRPr="006E4B35" w:rsidRDefault="00E57B97" w:rsidP="00AF0454">
      <w:pPr>
        <w:pStyle w:val="Prrafodelista"/>
        <w:numPr>
          <w:ilvl w:val="0"/>
          <w:numId w:val="9"/>
        </w:numPr>
        <w:rPr>
          <w:rFonts w:ascii="Barlow" w:hAnsi="Barlow"/>
          <w:b/>
          <w:sz w:val="20"/>
          <w:szCs w:val="20"/>
        </w:rPr>
      </w:pPr>
      <w:r w:rsidRPr="006E4B35">
        <w:rPr>
          <w:rFonts w:ascii="Barlow" w:hAnsi="Barlow"/>
          <w:b/>
          <w:sz w:val="20"/>
          <w:szCs w:val="20"/>
        </w:rPr>
        <w:t>NOTAS DE GESTIÓN ADMINISTRATIVA</w:t>
      </w:r>
    </w:p>
    <w:p w:rsidR="00FE5FBD" w:rsidRPr="006E4B35" w:rsidRDefault="00FE5FBD" w:rsidP="00FE5FBD">
      <w:pPr>
        <w:jc w:val="both"/>
        <w:rPr>
          <w:rFonts w:ascii="Barlow" w:hAnsi="Barlow"/>
          <w:sz w:val="20"/>
          <w:szCs w:val="20"/>
        </w:rPr>
      </w:pPr>
    </w:p>
    <w:p w:rsidR="00AF0454" w:rsidRPr="006E4B35" w:rsidRDefault="00AF0454" w:rsidP="006E4B35">
      <w:pPr>
        <w:spacing w:line="360" w:lineRule="auto"/>
        <w:jc w:val="both"/>
        <w:rPr>
          <w:rFonts w:ascii="Barlow" w:hAnsi="Barlow"/>
          <w:b/>
          <w:sz w:val="20"/>
          <w:szCs w:val="20"/>
        </w:rPr>
      </w:pPr>
      <w:r w:rsidRPr="006E4B35">
        <w:rPr>
          <w:rFonts w:ascii="Barlow" w:hAnsi="Barlow"/>
          <w:b/>
          <w:sz w:val="20"/>
          <w:szCs w:val="20"/>
        </w:rPr>
        <w:t>Introducción</w:t>
      </w:r>
    </w:p>
    <w:p w:rsidR="00AF0454" w:rsidRPr="006E4B35" w:rsidRDefault="00AF0454" w:rsidP="006E4B35">
      <w:pPr>
        <w:spacing w:line="360" w:lineRule="auto"/>
        <w:jc w:val="both"/>
        <w:rPr>
          <w:rFonts w:ascii="Barlow" w:hAnsi="Barlow"/>
          <w:sz w:val="20"/>
          <w:szCs w:val="20"/>
        </w:rPr>
      </w:pPr>
    </w:p>
    <w:p w:rsidR="00AF0454" w:rsidRPr="006E4B35" w:rsidRDefault="00AF0454" w:rsidP="006E4B35">
      <w:pPr>
        <w:spacing w:line="360" w:lineRule="auto"/>
        <w:jc w:val="both"/>
        <w:rPr>
          <w:rFonts w:ascii="Barlow" w:hAnsi="Barlow"/>
          <w:sz w:val="20"/>
          <w:szCs w:val="20"/>
        </w:rPr>
      </w:pPr>
      <w:r w:rsidRPr="006E4B35">
        <w:rPr>
          <w:rFonts w:ascii="Barlow" w:hAnsi="Barlow"/>
          <w:sz w:val="20"/>
          <w:szCs w:val="20"/>
        </w:rPr>
        <w:t>Los Estados Financieros del Sistema para el Desarrollo Integral de la Familia en Yucatán, proveen de información financiera a los principales usuarios de la misma, al Congreso y a los ciudadanos.</w:t>
      </w:r>
    </w:p>
    <w:p w:rsidR="00AF0454" w:rsidRPr="006E4B35" w:rsidRDefault="00AF0454" w:rsidP="006E4B35">
      <w:pPr>
        <w:spacing w:line="360" w:lineRule="auto"/>
        <w:jc w:val="both"/>
        <w:rPr>
          <w:rFonts w:ascii="Barlow" w:hAnsi="Barlow"/>
          <w:sz w:val="20"/>
          <w:szCs w:val="20"/>
        </w:rPr>
      </w:pPr>
    </w:p>
    <w:p w:rsidR="00AF0454" w:rsidRPr="006E4B35" w:rsidRDefault="00AF0454" w:rsidP="006E4B35">
      <w:pPr>
        <w:spacing w:line="360" w:lineRule="auto"/>
        <w:jc w:val="both"/>
        <w:rPr>
          <w:rFonts w:ascii="Barlow" w:hAnsi="Barlow"/>
          <w:sz w:val="20"/>
          <w:szCs w:val="20"/>
        </w:rPr>
      </w:pPr>
      <w:r w:rsidRPr="006E4B35">
        <w:rPr>
          <w:rFonts w:ascii="Barlow" w:hAnsi="Barlow"/>
          <w:sz w:val="20"/>
          <w:szCs w:val="20"/>
        </w:rPr>
        <w:t>El objetivo del presente documento es la revisión del contexto y los aspectos económicos-financieros más relevantes que influyeron en las decisiones del período, y</w:t>
      </w:r>
      <w:r w:rsidR="005C79CA" w:rsidRPr="006E4B35">
        <w:rPr>
          <w:rFonts w:ascii="Barlow" w:hAnsi="Barlow"/>
          <w:sz w:val="20"/>
          <w:szCs w:val="20"/>
        </w:rPr>
        <w:t xml:space="preserve"> </w:t>
      </w:r>
      <w:r w:rsidRPr="006E4B35">
        <w:rPr>
          <w:rFonts w:ascii="Barlow" w:hAnsi="Barlow"/>
          <w:sz w:val="20"/>
          <w:szCs w:val="20"/>
        </w:rPr>
        <w:t xml:space="preserve">que deberán ser considerados en la elaboración de los estados financieros para la mayor comprensión </w:t>
      </w:r>
      <w:r w:rsidR="002620C6" w:rsidRPr="006E4B35">
        <w:rPr>
          <w:rFonts w:ascii="Barlow" w:hAnsi="Barlow"/>
          <w:sz w:val="20"/>
          <w:szCs w:val="20"/>
        </w:rPr>
        <w:t xml:space="preserve">de los mismos y sus particularidades. </w:t>
      </w:r>
    </w:p>
    <w:p w:rsidR="002620C6" w:rsidRPr="006E4B35" w:rsidRDefault="002620C6" w:rsidP="006E4B35">
      <w:pPr>
        <w:spacing w:line="360" w:lineRule="auto"/>
        <w:jc w:val="both"/>
        <w:rPr>
          <w:rFonts w:ascii="Barlow" w:hAnsi="Barlow"/>
          <w:sz w:val="20"/>
          <w:szCs w:val="20"/>
        </w:rPr>
      </w:pPr>
    </w:p>
    <w:p w:rsidR="002620C6" w:rsidRPr="006E4B35" w:rsidRDefault="002620C6" w:rsidP="006E4B35">
      <w:pPr>
        <w:spacing w:line="360" w:lineRule="auto"/>
        <w:jc w:val="both"/>
        <w:rPr>
          <w:rFonts w:ascii="Barlow" w:hAnsi="Barlow"/>
          <w:sz w:val="20"/>
          <w:szCs w:val="20"/>
        </w:rPr>
      </w:pPr>
      <w:r w:rsidRPr="006E4B35">
        <w:rPr>
          <w:rFonts w:ascii="Barlow" w:hAnsi="Barlow"/>
          <w:sz w:val="20"/>
          <w:szCs w:val="20"/>
        </w:rPr>
        <w:t xml:space="preserve">De esta manera, se informa y explica la respuesta del gobierno a las condiciones relacionadas con la información financiera de cada período de gestión; además, de exponer aquellas políticas que podrían afectar la toma de decisiones </w:t>
      </w:r>
      <w:r w:rsidR="008A70D4" w:rsidRPr="006E4B35">
        <w:rPr>
          <w:rFonts w:ascii="Barlow" w:hAnsi="Barlow"/>
          <w:sz w:val="20"/>
          <w:szCs w:val="20"/>
        </w:rPr>
        <w:t>e</w:t>
      </w:r>
      <w:r w:rsidRPr="006E4B35">
        <w:rPr>
          <w:rFonts w:ascii="Barlow" w:hAnsi="Barlow"/>
          <w:sz w:val="20"/>
          <w:szCs w:val="20"/>
        </w:rPr>
        <w:t>n períodos posteriores.</w:t>
      </w:r>
    </w:p>
    <w:p w:rsidR="002620C6" w:rsidRDefault="002620C6" w:rsidP="006E4B35">
      <w:pPr>
        <w:spacing w:line="360" w:lineRule="auto"/>
        <w:jc w:val="both"/>
        <w:rPr>
          <w:rFonts w:ascii="Barlow" w:hAnsi="Barlow"/>
          <w:sz w:val="20"/>
          <w:szCs w:val="20"/>
        </w:rPr>
      </w:pPr>
    </w:p>
    <w:p w:rsidR="006E4B35" w:rsidRDefault="006E4B35" w:rsidP="006E4B35">
      <w:pPr>
        <w:spacing w:line="360" w:lineRule="auto"/>
        <w:jc w:val="both"/>
        <w:rPr>
          <w:rFonts w:ascii="Barlow" w:hAnsi="Barlow"/>
          <w:sz w:val="20"/>
          <w:szCs w:val="20"/>
        </w:rPr>
      </w:pPr>
    </w:p>
    <w:p w:rsidR="00ED752C" w:rsidRPr="006E4B35" w:rsidRDefault="00ED752C" w:rsidP="006E4B35">
      <w:pPr>
        <w:spacing w:line="360" w:lineRule="auto"/>
        <w:jc w:val="both"/>
        <w:rPr>
          <w:rFonts w:ascii="Barlow" w:hAnsi="Barlow"/>
          <w:sz w:val="20"/>
          <w:szCs w:val="20"/>
        </w:rPr>
      </w:pPr>
    </w:p>
    <w:p w:rsidR="002620C6" w:rsidRPr="006E4B35" w:rsidRDefault="002620C6" w:rsidP="006E4B35">
      <w:pPr>
        <w:spacing w:line="360" w:lineRule="auto"/>
        <w:jc w:val="both"/>
        <w:rPr>
          <w:rFonts w:ascii="Barlow" w:hAnsi="Barlow"/>
          <w:b/>
          <w:sz w:val="20"/>
          <w:szCs w:val="20"/>
        </w:rPr>
      </w:pPr>
      <w:r w:rsidRPr="006E4B35">
        <w:rPr>
          <w:rFonts w:ascii="Barlow" w:hAnsi="Barlow"/>
          <w:b/>
          <w:sz w:val="20"/>
          <w:szCs w:val="20"/>
        </w:rPr>
        <w:lastRenderedPageBreak/>
        <w:t>Panorama Económico y Financiero</w:t>
      </w:r>
    </w:p>
    <w:p w:rsidR="002620C6" w:rsidRPr="006E4B35" w:rsidRDefault="002620C6" w:rsidP="006E4B35">
      <w:pPr>
        <w:spacing w:line="360" w:lineRule="auto"/>
        <w:jc w:val="both"/>
        <w:rPr>
          <w:rFonts w:ascii="Barlow" w:hAnsi="Barlow"/>
          <w:b/>
          <w:sz w:val="20"/>
          <w:szCs w:val="20"/>
        </w:rPr>
      </w:pPr>
    </w:p>
    <w:p w:rsidR="002620C6" w:rsidRDefault="002620C6" w:rsidP="006E4B35">
      <w:pPr>
        <w:spacing w:line="360" w:lineRule="auto"/>
        <w:jc w:val="both"/>
        <w:rPr>
          <w:rFonts w:ascii="Barlow" w:hAnsi="Barlow"/>
          <w:sz w:val="20"/>
          <w:szCs w:val="20"/>
        </w:rPr>
      </w:pPr>
      <w:r w:rsidRPr="006E4B35">
        <w:rPr>
          <w:rFonts w:ascii="Barlow" w:hAnsi="Barlow"/>
          <w:sz w:val="20"/>
          <w:szCs w:val="20"/>
        </w:rPr>
        <w:t>Las condiciones económicas y financieras bajo las cuales el Sistema para el Desarrollo Integral de la Familia en Yucatán, estuvo operando, son las mismas a las que se sujeta el Presupuesto de Egresos del Estado.</w:t>
      </w:r>
    </w:p>
    <w:p w:rsidR="006E4B35" w:rsidRPr="006E4B35" w:rsidRDefault="006E4B35" w:rsidP="006E4B35">
      <w:pPr>
        <w:spacing w:line="360" w:lineRule="auto"/>
        <w:jc w:val="both"/>
        <w:rPr>
          <w:rFonts w:ascii="Barlow" w:hAnsi="Barlow"/>
          <w:sz w:val="20"/>
          <w:szCs w:val="20"/>
        </w:rPr>
      </w:pPr>
    </w:p>
    <w:p w:rsidR="006940FC" w:rsidRPr="006E4B35" w:rsidRDefault="006940FC" w:rsidP="006E4B35">
      <w:pPr>
        <w:spacing w:line="360" w:lineRule="auto"/>
        <w:jc w:val="both"/>
        <w:rPr>
          <w:rFonts w:ascii="Barlow" w:hAnsi="Barlow"/>
          <w:b/>
          <w:sz w:val="20"/>
          <w:szCs w:val="20"/>
        </w:rPr>
      </w:pPr>
      <w:r w:rsidRPr="006E4B35">
        <w:rPr>
          <w:rFonts w:ascii="Barlow" w:hAnsi="Barlow"/>
          <w:b/>
          <w:sz w:val="20"/>
          <w:szCs w:val="20"/>
        </w:rPr>
        <w:t>Autorización e Historia</w:t>
      </w:r>
    </w:p>
    <w:p w:rsidR="006940FC" w:rsidRPr="006E4B35" w:rsidRDefault="006940FC" w:rsidP="006E4B35">
      <w:pPr>
        <w:spacing w:line="360" w:lineRule="auto"/>
        <w:jc w:val="both"/>
        <w:rPr>
          <w:rFonts w:ascii="Barlow" w:hAnsi="Barlow"/>
          <w:b/>
          <w:sz w:val="20"/>
          <w:szCs w:val="20"/>
        </w:rPr>
      </w:pPr>
    </w:p>
    <w:p w:rsidR="006940FC" w:rsidRDefault="006940FC" w:rsidP="006E4B35">
      <w:pPr>
        <w:spacing w:line="360" w:lineRule="auto"/>
        <w:jc w:val="both"/>
        <w:rPr>
          <w:rFonts w:ascii="Barlow" w:hAnsi="Barlow"/>
          <w:sz w:val="20"/>
          <w:szCs w:val="20"/>
        </w:rPr>
      </w:pPr>
      <w:r w:rsidRPr="006E4B35">
        <w:rPr>
          <w:rFonts w:ascii="Barlow" w:hAnsi="Barlow"/>
          <w:sz w:val="20"/>
          <w:szCs w:val="20"/>
        </w:rPr>
        <w:t xml:space="preserve">El Sistema para el Desarrollo Integral de la Familia </w:t>
      </w:r>
      <w:r w:rsidR="00F170F3" w:rsidRPr="006E4B35">
        <w:rPr>
          <w:rFonts w:ascii="Barlow" w:hAnsi="Barlow"/>
          <w:sz w:val="20"/>
          <w:szCs w:val="20"/>
        </w:rPr>
        <w:t>de</w:t>
      </w:r>
      <w:r w:rsidRPr="006E4B35">
        <w:rPr>
          <w:rFonts w:ascii="Barlow" w:hAnsi="Barlow"/>
          <w:sz w:val="20"/>
          <w:szCs w:val="20"/>
        </w:rPr>
        <w:t xml:space="preserve"> Yucatán, fue </w:t>
      </w:r>
      <w:r w:rsidR="00A36CF9" w:rsidRPr="006E4B35">
        <w:rPr>
          <w:rFonts w:ascii="Barlow" w:hAnsi="Barlow"/>
          <w:sz w:val="20"/>
          <w:szCs w:val="20"/>
        </w:rPr>
        <w:t xml:space="preserve">creado </w:t>
      </w:r>
      <w:r w:rsidRPr="006E4B35">
        <w:rPr>
          <w:rFonts w:ascii="Barlow" w:hAnsi="Barlow"/>
          <w:sz w:val="20"/>
          <w:szCs w:val="20"/>
        </w:rPr>
        <w:t>mediante</w:t>
      </w:r>
      <w:r w:rsidR="00A36CF9" w:rsidRPr="006E4B35">
        <w:rPr>
          <w:rFonts w:ascii="Barlow" w:hAnsi="Barlow"/>
          <w:sz w:val="20"/>
          <w:szCs w:val="20"/>
        </w:rPr>
        <w:t xml:space="preserve"> el </w:t>
      </w:r>
      <w:r w:rsidRPr="006E4B35">
        <w:rPr>
          <w:rFonts w:ascii="Barlow" w:hAnsi="Barlow"/>
          <w:sz w:val="20"/>
          <w:szCs w:val="20"/>
        </w:rPr>
        <w:t xml:space="preserve"> Decreto Número </w:t>
      </w:r>
      <w:r w:rsidR="0008120D" w:rsidRPr="006E4B35">
        <w:rPr>
          <w:rFonts w:ascii="Barlow" w:hAnsi="Barlow"/>
          <w:sz w:val="20"/>
          <w:szCs w:val="20"/>
        </w:rPr>
        <w:t>353</w:t>
      </w:r>
      <w:r w:rsidRPr="006E4B35">
        <w:rPr>
          <w:rFonts w:ascii="Barlow" w:hAnsi="Barlow"/>
          <w:sz w:val="20"/>
          <w:szCs w:val="20"/>
        </w:rPr>
        <w:t xml:space="preserve"> por el Poder Ejecutivo Estatal</w:t>
      </w:r>
      <w:r w:rsidR="00A36CF9" w:rsidRPr="006E4B35">
        <w:rPr>
          <w:rFonts w:ascii="Barlow" w:hAnsi="Barlow"/>
          <w:sz w:val="20"/>
          <w:szCs w:val="20"/>
        </w:rPr>
        <w:t xml:space="preserve"> publicado en el </w:t>
      </w:r>
      <w:r w:rsidR="00702613" w:rsidRPr="006E4B35">
        <w:rPr>
          <w:rFonts w:ascii="Barlow" w:hAnsi="Barlow"/>
          <w:sz w:val="20"/>
          <w:szCs w:val="20"/>
        </w:rPr>
        <w:t xml:space="preserve">Diario </w:t>
      </w:r>
      <w:r w:rsidR="00A36CF9" w:rsidRPr="006E4B35">
        <w:rPr>
          <w:rFonts w:ascii="Barlow" w:hAnsi="Barlow"/>
          <w:sz w:val="20"/>
          <w:szCs w:val="20"/>
        </w:rPr>
        <w:t xml:space="preserve">Oficial el día </w:t>
      </w:r>
      <w:r w:rsidR="008460F2" w:rsidRPr="006E4B35">
        <w:rPr>
          <w:rFonts w:ascii="Barlow" w:hAnsi="Barlow"/>
          <w:sz w:val="20"/>
          <w:szCs w:val="20"/>
        </w:rPr>
        <w:t xml:space="preserve">12 de septiembre de 1986 sustituyendo al Sistema para el Desarrollo para la Familia </w:t>
      </w:r>
      <w:r w:rsidR="008460F2" w:rsidRPr="0049189E">
        <w:rPr>
          <w:rFonts w:ascii="Barlow" w:hAnsi="Barlow"/>
          <w:sz w:val="20"/>
          <w:szCs w:val="20"/>
        </w:rPr>
        <w:t>en</w:t>
      </w:r>
      <w:r w:rsidR="008460F2" w:rsidRPr="006E4B35">
        <w:rPr>
          <w:rFonts w:ascii="Barlow" w:hAnsi="Barlow"/>
          <w:sz w:val="20"/>
          <w:szCs w:val="20"/>
        </w:rPr>
        <w:t xml:space="preserve"> Yucatán creado </w:t>
      </w:r>
      <w:r w:rsidR="00A36CF9" w:rsidRPr="006E4B35">
        <w:rPr>
          <w:rFonts w:ascii="Barlow" w:hAnsi="Barlow"/>
          <w:sz w:val="20"/>
          <w:szCs w:val="20"/>
        </w:rPr>
        <w:t>6 de abril de 1977</w:t>
      </w:r>
      <w:r w:rsidR="008460F2" w:rsidRPr="006E4B35">
        <w:rPr>
          <w:rFonts w:ascii="Barlow" w:hAnsi="Barlow"/>
          <w:sz w:val="20"/>
          <w:szCs w:val="20"/>
        </w:rPr>
        <w:t xml:space="preserve"> por el Poder Ejecutivo según Decreto No. 118</w:t>
      </w:r>
      <w:r w:rsidR="00A36CF9" w:rsidRPr="006E4B35">
        <w:rPr>
          <w:rFonts w:ascii="Barlow" w:hAnsi="Barlow"/>
          <w:sz w:val="20"/>
          <w:szCs w:val="20"/>
        </w:rPr>
        <w:t>, como un organismo público descentralizado del Gobierno del Estado con personalidad jurídica y patrimonio propio</w:t>
      </w:r>
      <w:r w:rsidR="008460F2" w:rsidRPr="006E4B35">
        <w:rPr>
          <w:rFonts w:ascii="Barlow" w:hAnsi="Barlow"/>
          <w:sz w:val="20"/>
          <w:szCs w:val="20"/>
        </w:rPr>
        <w:t>.</w:t>
      </w:r>
    </w:p>
    <w:p w:rsidR="006E4B35" w:rsidRPr="006E4B35" w:rsidRDefault="006E4B35" w:rsidP="006E4B35">
      <w:pPr>
        <w:spacing w:line="360" w:lineRule="auto"/>
        <w:jc w:val="both"/>
        <w:rPr>
          <w:rFonts w:ascii="Barlow" w:hAnsi="Barlow"/>
          <w:sz w:val="20"/>
          <w:szCs w:val="20"/>
        </w:rPr>
      </w:pPr>
    </w:p>
    <w:p w:rsidR="00FE5FBD" w:rsidRPr="006E4B35" w:rsidRDefault="00FE5FBD" w:rsidP="006E4B35">
      <w:pPr>
        <w:spacing w:line="360" w:lineRule="auto"/>
        <w:jc w:val="both"/>
        <w:rPr>
          <w:rFonts w:ascii="Barlow" w:hAnsi="Barlow"/>
          <w:b/>
          <w:sz w:val="20"/>
          <w:szCs w:val="20"/>
        </w:rPr>
      </w:pPr>
      <w:r w:rsidRPr="006E4B35">
        <w:rPr>
          <w:rFonts w:ascii="Barlow" w:hAnsi="Barlow"/>
          <w:b/>
          <w:sz w:val="20"/>
          <w:szCs w:val="20"/>
        </w:rPr>
        <w:t>Organización y Objeto Social</w:t>
      </w:r>
    </w:p>
    <w:p w:rsidR="002813F0" w:rsidRPr="006E4B35" w:rsidRDefault="002813F0" w:rsidP="006E4B35">
      <w:pPr>
        <w:spacing w:line="360" w:lineRule="auto"/>
        <w:jc w:val="both"/>
        <w:rPr>
          <w:rFonts w:ascii="Barlow" w:hAnsi="Barlow"/>
          <w:b/>
          <w:sz w:val="20"/>
          <w:szCs w:val="20"/>
        </w:rPr>
      </w:pPr>
    </w:p>
    <w:p w:rsidR="00FE5FBD" w:rsidRPr="006E4B35" w:rsidRDefault="00FE5FBD" w:rsidP="006E4B35">
      <w:pPr>
        <w:spacing w:line="360" w:lineRule="auto"/>
        <w:jc w:val="both"/>
        <w:rPr>
          <w:rFonts w:ascii="Barlow" w:hAnsi="Barlow"/>
          <w:sz w:val="20"/>
          <w:szCs w:val="20"/>
        </w:rPr>
      </w:pPr>
      <w:r w:rsidRPr="006E4B35">
        <w:rPr>
          <w:rFonts w:ascii="Barlow" w:hAnsi="Barlow"/>
          <w:b/>
          <w:sz w:val="20"/>
          <w:szCs w:val="20"/>
        </w:rPr>
        <w:t>El Sistema para el Desarrollo Integral de la Familia en Yucatán</w:t>
      </w:r>
      <w:r w:rsidRPr="006E4B35">
        <w:rPr>
          <w:rFonts w:ascii="Barlow" w:hAnsi="Barlow"/>
          <w:sz w:val="20"/>
          <w:szCs w:val="20"/>
        </w:rPr>
        <w:t xml:space="preserve"> es un organismo público descentralizado del Gobierno del Estado con personalidad jurídica y patrimonio propio; es el organismo rector de la asistencia social y tiene por objetivos la promoción de la misma, la prestación de servicios en ese campo, la promoción de la interrelación sistemática de acciones que en la materia lleven a cabo las instituciones públicas y privadas, así como la realización de las demás acciones que establece esta Ley y las disposiciones legales aplicables.</w:t>
      </w:r>
    </w:p>
    <w:p w:rsidR="006268D4" w:rsidRDefault="006268D4" w:rsidP="006E4B35">
      <w:pPr>
        <w:spacing w:line="360" w:lineRule="auto"/>
        <w:jc w:val="both"/>
        <w:rPr>
          <w:rFonts w:ascii="Barlow" w:hAnsi="Barlow"/>
          <w:sz w:val="20"/>
          <w:szCs w:val="20"/>
        </w:rPr>
      </w:pPr>
    </w:p>
    <w:p w:rsidR="006E4B35" w:rsidRDefault="006E4B35" w:rsidP="006E4B35">
      <w:pPr>
        <w:spacing w:line="360" w:lineRule="auto"/>
        <w:jc w:val="both"/>
        <w:rPr>
          <w:rFonts w:ascii="Barlow" w:hAnsi="Barlow"/>
          <w:sz w:val="20"/>
          <w:szCs w:val="20"/>
        </w:rPr>
      </w:pPr>
    </w:p>
    <w:p w:rsidR="001B2085" w:rsidRDefault="001B2085" w:rsidP="006E4B35">
      <w:pPr>
        <w:spacing w:line="360" w:lineRule="auto"/>
        <w:jc w:val="both"/>
        <w:rPr>
          <w:rFonts w:ascii="Barlow" w:hAnsi="Barlow"/>
          <w:sz w:val="20"/>
          <w:szCs w:val="20"/>
        </w:rPr>
      </w:pPr>
    </w:p>
    <w:p w:rsidR="006E4B35" w:rsidRDefault="006E4B35" w:rsidP="006E4B35">
      <w:pPr>
        <w:spacing w:line="360" w:lineRule="auto"/>
        <w:jc w:val="both"/>
        <w:rPr>
          <w:rFonts w:ascii="Barlow" w:hAnsi="Barlow"/>
          <w:sz w:val="20"/>
          <w:szCs w:val="20"/>
        </w:rPr>
      </w:pPr>
    </w:p>
    <w:p w:rsidR="006E4B35" w:rsidRPr="006E4B35" w:rsidRDefault="006E4B35" w:rsidP="006E4B35">
      <w:pPr>
        <w:spacing w:line="360" w:lineRule="auto"/>
        <w:jc w:val="both"/>
        <w:rPr>
          <w:rFonts w:ascii="Barlow" w:hAnsi="Barlow"/>
          <w:sz w:val="20"/>
          <w:szCs w:val="20"/>
        </w:rPr>
      </w:pPr>
    </w:p>
    <w:p w:rsidR="00FE5FBD" w:rsidRPr="006E4B35" w:rsidRDefault="00FE5FBD" w:rsidP="006E4B35">
      <w:pPr>
        <w:spacing w:line="360" w:lineRule="auto"/>
        <w:jc w:val="both"/>
        <w:rPr>
          <w:rFonts w:ascii="Barlow" w:hAnsi="Barlow"/>
          <w:b/>
          <w:sz w:val="20"/>
          <w:szCs w:val="20"/>
        </w:rPr>
      </w:pPr>
      <w:r w:rsidRPr="006E4B35">
        <w:rPr>
          <w:rFonts w:ascii="Barlow" w:hAnsi="Barlow"/>
          <w:b/>
          <w:sz w:val="20"/>
          <w:szCs w:val="20"/>
        </w:rPr>
        <w:t>Ejercicio Fiscal</w:t>
      </w:r>
    </w:p>
    <w:p w:rsidR="00FE5FBD" w:rsidRPr="006E4B35" w:rsidRDefault="00FE5FBD" w:rsidP="006E4B35">
      <w:pPr>
        <w:spacing w:line="360" w:lineRule="auto"/>
        <w:jc w:val="both"/>
        <w:rPr>
          <w:rFonts w:ascii="Barlow" w:hAnsi="Barlow"/>
          <w:sz w:val="20"/>
          <w:szCs w:val="20"/>
        </w:rPr>
      </w:pPr>
    </w:p>
    <w:p w:rsidR="00166414" w:rsidRPr="006E4B35" w:rsidRDefault="00FE5FBD" w:rsidP="006E4B35">
      <w:pPr>
        <w:spacing w:line="360" w:lineRule="auto"/>
        <w:jc w:val="both"/>
        <w:rPr>
          <w:rFonts w:ascii="Barlow" w:hAnsi="Barlow"/>
          <w:sz w:val="20"/>
          <w:szCs w:val="20"/>
        </w:rPr>
      </w:pPr>
      <w:r w:rsidRPr="006E4B35">
        <w:rPr>
          <w:rFonts w:ascii="Barlow" w:hAnsi="Barlow"/>
          <w:b/>
          <w:sz w:val="20"/>
          <w:szCs w:val="20"/>
        </w:rPr>
        <w:t>El Sistema para el Desarrollo Integral de la Familia en Yucatán</w:t>
      </w:r>
      <w:r w:rsidR="005C79CA" w:rsidRPr="006E4B35">
        <w:rPr>
          <w:rFonts w:ascii="Barlow" w:hAnsi="Barlow"/>
          <w:b/>
          <w:sz w:val="20"/>
          <w:szCs w:val="20"/>
        </w:rPr>
        <w:t xml:space="preserve"> </w:t>
      </w:r>
      <w:r w:rsidR="00166414" w:rsidRPr="006E4B35">
        <w:rPr>
          <w:rFonts w:ascii="Barlow" w:hAnsi="Barlow"/>
          <w:sz w:val="20"/>
          <w:szCs w:val="20"/>
        </w:rPr>
        <w:t>está registrado ante la Secretar</w:t>
      </w:r>
      <w:r w:rsidR="00D8045B" w:rsidRPr="006E4B35">
        <w:rPr>
          <w:rFonts w:ascii="Barlow" w:hAnsi="Barlow"/>
          <w:sz w:val="20"/>
          <w:szCs w:val="20"/>
        </w:rPr>
        <w:t>ía</w:t>
      </w:r>
      <w:r w:rsidR="00166414" w:rsidRPr="006E4B35">
        <w:rPr>
          <w:rFonts w:ascii="Barlow" w:hAnsi="Barlow"/>
          <w:sz w:val="20"/>
          <w:szCs w:val="20"/>
        </w:rPr>
        <w:t xml:space="preserve"> de Administración Tributaria con la actividad de Actividades Asistenciales y tributa bajo el régimen de Personas Morales con fines no lucrativos.</w:t>
      </w:r>
    </w:p>
    <w:p w:rsidR="009243D4" w:rsidRDefault="001B6DEF" w:rsidP="009243D4">
      <w:pPr>
        <w:spacing w:line="360" w:lineRule="auto"/>
        <w:jc w:val="both"/>
        <w:rPr>
          <w:rFonts w:ascii="Barlow" w:hAnsi="Barlow"/>
          <w:sz w:val="20"/>
          <w:szCs w:val="20"/>
        </w:rPr>
      </w:pPr>
      <w:r w:rsidRPr="006E4B35">
        <w:rPr>
          <w:rFonts w:ascii="Barlow" w:hAnsi="Barlow"/>
          <w:sz w:val="20"/>
          <w:szCs w:val="20"/>
        </w:rPr>
        <w:t>Los Estados Financieros que se presentan corresponden del 1 de enero a</w:t>
      </w:r>
      <w:r w:rsidR="005C79CA" w:rsidRPr="006E4B35">
        <w:rPr>
          <w:rFonts w:ascii="Barlow" w:hAnsi="Barlow"/>
          <w:sz w:val="20"/>
          <w:szCs w:val="20"/>
        </w:rPr>
        <w:t xml:space="preserve">l </w:t>
      </w:r>
      <w:r w:rsidR="009D3CB7" w:rsidRPr="006E4B35">
        <w:rPr>
          <w:rFonts w:ascii="Barlow" w:hAnsi="Barlow"/>
          <w:sz w:val="20"/>
          <w:szCs w:val="20"/>
        </w:rPr>
        <w:t>3</w:t>
      </w:r>
      <w:r w:rsidR="0049189E">
        <w:rPr>
          <w:rFonts w:ascii="Barlow" w:hAnsi="Barlow"/>
          <w:sz w:val="20"/>
          <w:szCs w:val="20"/>
        </w:rPr>
        <w:t>0</w:t>
      </w:r>
      <w:r w:rsidR="00DB062B" w:rsidRPr="006E4B35">
        <w:rPr>
          <w:rFonts w:ascii="Barlow" w:hAnsi="Barlow"/>
          <w:sz w:val="20"/>
          <w:szCs w:val="20"/>
        </w:rPr>
        <w:t xml:space="preserve"> </w:t>
      </w:r>
      <w:r w:rsidR="005C79CA" w:rsidRPr="006E4B35">
        <w:rPr>
          <w:rFonts w:ascii="Barlow" w:hAnsi="Barlow"/>
          <w:sz w:val="20"/>
          <w:szCs w:val="20"/>
        </w:rPr>
        <w:t xml:space="preserve">de </w:t>
      </w:r>
      <w:r w:rsidR="0049189E">
        <w:rPr>
          <w:rFonts w:ascii="Barlow" w:hAnsi="Barlow"/>
          <w:sz w:val="20"/>
          <w:szCs w:val="20"/>
        </w:rPr>
        <w:t>junio</w:t>
      </w:r>
      <w:r w:rsidRPr="006E4B35">
        <w:rPr>
          <w:rFonts w:ascii="Barlow" w:hAnsi="Barlow"/>
          <w:sz w:val="20"/>
          <w:szCs w:val="20"/>
        </w:rPr>
        <w:t xml:space="preserve"> del año 201</w:t>
      </w:r>
      <w:r w:rsidR="00C5325A" w:rsidRPr="006E4B35">
        <w:rPr>
          <w:rFonts w:ascii="Barlow" w:hAnsi="Barlow"/>
          <w:sz w:val="20"/>
          <w:szCs w:val="20"/>
        </w:rPr>
        <w:t>9</w:t>
      </w:r>
      <w:r w:rsidRPr="006E4B35">
        <w:rPr>
          <w:rFonts w:ascii="Barlow" w:hAnsi="Barlow"/>
          <w:sz w:val="20"/>
          <w:szCs w:val="20"/>
        </w:rPr>
        <w:t>, los cuales contabilizan los eventos y las transacciones económicas cuantificables de las operaciones expresadas y contabilizadas en moneda nacional.</w:t>
      </w:r>
    </w:p>
    <w:p w:rsidR="009243D4" w:rsidRPr="009243D4" w:rsidRDefault="009243D4" w:rsidP="009243D4">
      <w:pPr>
        <w:spacing w:line="360" w:lineRule="auto"/>
        <w:jc w:val="both"/>
        <w:rPr>
          <w:rFonts w:ascii="Barlow" w:hAnsi="Barlow"/>
          <w:sz w:val="20"/>
          <w:szCs w:val="20"/>
        </w:rPr>
      </w:pPr>
      <w:r w:rsidRPr="00410493">
        <w:rPr>
          <w:rFonts w:ascii="Barlow" w:hAnsi="Barlow" w:cs="Arial"/>
          <w:b/>
          <w:sz w:val="20"/>
          <w:szCs w:val="20"/>
        </w:rPr>
        <w:t>Régimen Jurídico</w:t>
      </w:r>
    </w:p>
    <w:p w:rsidR="009243D4" w:rsidRPr="00410493" w:rsidRDefault="009243D4" w:rsidP="009243D4">
      <w:pPr>
        <w:autoSpaceDE w:val="0"/>
        <w:autoSpaceDN w:val="0"/>
        <w:adjustRightInd w:val="0"/>
        <w:spacing w:line="360" w:lineRule="auto"/>
        <w:ind w:firstLine="705"/>
        <w:jc w:val="both"/>
        <w:rPr>
          <w:rFonts w:ascii="Barlow" w:hAnsi="Barlow" w:cs="Arial"/>
          <w:sz w:val="20"/>
          <w:szCs w:val="20"/>
        </w:rPr>
      </w:pPr>
      <w:r w:rsidRPr="00410493">
        <w:rPr>
          <w:rFonts w:ascii="Barlow" w:hAnsi="Barlow" w:cs="Arial"/>
          <w:sz w:val="20"/>
          <w:szCs w:val="20"/>
        </w:rPr>
        <w:t xml:space="preserve">El </w:t>
      </w:r>
      <w:r>
        <w:rPr>
          <w:rFonts w:ascii="Barlow" w:hAnsi="Barlow" w:cs="Arial"/>
          <w:sz w:val="20"/>
          <w:szCs w:val="20"/>
        </w:rPr>
        <w:t>Sistema DIF</w:t>
      </w:r>
      <w:r w:rsidRPr="00410493">
        <w:rPr>
          <w:rFonts w:ascii="Barlow" w:hAnsi="Barlow" w:cs="Arial"/>
          <w:sz w:val="20"/>
          <w:szCs w:val="20"/>
        </w:rPr>
        <w:t xml:space="preserve"> está regulado por lo siguiente:</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Constitución de los Estados Unidos Mexicanos.</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Constitución Política del Estado de Yucatán.</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Ley General de Contabilidad Gubernamental.</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El Código de la Administración Pública del Estado de Yucatán.</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El Reglamento de la Administración Pública del Estado de Yucatán.</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Ley del Presupuesto y Contabilidad Gubernamental del Estado de Yucatán y su reglamento.</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Ley de Responsabilidades de los Servidores Públicos del Estado de Yucatán.</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Ley Federal de Responsabilidades de los Servidores Públicos</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Ley de Adquisiciones, Arrendamientos y Prestación de Servicios relacionados con Bienes Muebles.</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La Ley de Fiscalización de la Cuenta Pública del Estado de Yucatán y su reglamento.</w:t>
      </w:r>
    </w:p>
    <w:p w:rsidR="009243D4" w:rsidRPr="00410493" w:rsidRDefault="009243D4" w:rsidP="009243D4">
      <w:pPr>
        <w:numPr>
          <w:ilvl w:val="0"/>
          <w:numId w:val="14"/>
        </w:numPr>
        <w:autoSpaceDE w:val="0"/>
        <w:autoSpaceDN w:val="0"/>
        <w:adjustRightInd w:val="0"/>
        <w:spacing w:line="360" w:lineRule="auto"/>
        <w:jc w:val="both"/>
        <w:rPr>
          <w:rFonts w:ascii="Barlow" w:hAnsi="Barlow" w:cs="Arial"/>
          <w:sz w:val="20"/>
          <w:szCs w:val="20"/>
        </w:rPr>
      </w:pPr>
      <w:r w:rsidRPr="00410493">
        <w:rPr>
          <w:rFonts w:ascii="Barlow" w:hAnsi="Barlow" w:cs="Arial"/>
          <w:sz w:val="20"/>
          <w:szCs w:val="20"/>
        </w:rPr>
        <w:t>Ley de Disciplina Financiera de las Entidades Federativas y Municipios</w:t>
      </w:r>
    </w:p>
    <w:p w:rsidR="009243D4" w:rsidRPr="00410493" w:rsidRDefault="009243D4" w:rsidP="009243D4">
      <w:pPr>
        <w:autoSpaceDE w:val="0"/>
        <w:autoSpaceDN w:val="0"/>
        <w:adjustRightInd w:val="0"/>
        <w:spacing w:line="360" w:lineRule="auto"/>
        <w:ind w:left="1425"/>
        <w:jc w:val="both"/>
        <w:rPr>
          <w:rFonts w:ascii="Barlow" w:hAnsi="Barlow" w:cs="Arial"/>
          <w:sz w:val="20"/>
          <w:szCs w:val="20"/>
        </w:rPr>
      </w:pPr>
    </w:p>
    <w:p w:rsidR="009243D4" w:rsidRDefault="009243D4" w:rsidP="006E4B35">
      <w:pPr>
        <w:spacing w:line="360" w:lineRule="auto"/>
        <w:jc w:val="both"/>
        <w:rPr>
          <w:rFonts w:ascii="Barlow" w:hAnsi="Barlow"/>
          <w:sz w:val="20"/>
          <w:szCs w:val="20"/>
        </w:rPr>
      </w:pPr>
    </w:p>
    <w:p w:rsidR="009243D4" w:rsidRPr="006E4B35" w:rsidRDefault="009243D4" w:rsidP="006E4B35">
      <w:pPr>
        <w:spacing w:line="360" w:lineRule="auto"/>
        <w:jc w:val="both"/>
        <w:rPr>
          <w:rFonts w:ascii="Barlow" w:hAnsi="Barlow"/>
          <w:sz w:val="20"/>
          <w:szCs w:val="20"/>
        </w:rPr>
      </w:pPr>
    </w:p>
    <w:p w:rsidR="00FE5FBD" w:rsidRPr="006E4B35" w:rsidRDefault="00FE5FBD" w:rsidP="006E4B35">
      <w:pPr>
        <w:spacing w:line="360" w:lineRule="auto"/>
        <w:jc w:val="both"/>
        <w:rPr>
          <w:rFonts w:ascii="Barlow" w:hAnsi="Barlow"/>
          <w:sz w:val="20"/>
          <w:szCs w:val="20"/>
        </w:rPr>
      </w:pPr>
    </w:p>
    <w:p w:rsidR="00252CCB" w:rsidRPr="006E4B35" w:rsidRDefault="00FE5FBD" w:rsidP="006E4B35">
      <w:pPr>
        <w:spacing w:line="360" w:lineRule="auto"/>
        <w:jc w:val="both"/>
        <w:rPr>
          <w:rFonts w:ascii="Barlow" w:hAnsi="Barlow"/>
          <w:b/>
          <w:sz w:val="20"/>
          <w:szCs w:val="20"/>
        </w:rPr>
      </w:pPr>
      <w:r w:rsidRPr="006E4B35">
        <w:rPr>
          <w:rFonts w:ascii="Barlow" w:hAnsi="Barlow"/>
          <w:b/>
          <w:sz w:val="20"/>
          <w:szCs w:val="20"/>
        </w:rPr>
        <w:t>Obligaciones Fiscales:</w:t>
      </w:r>
    </w:p>
    <w:p w:rsidR="00FE5FBD" w:rsidRPr="006E4B35" w:rsidRDefault="00FE5FBD" w:rsidP="006E4B35">
      <w:pPr>
        <w:spacing w:line="360" w:lineRule="auto"/>
        <w:jc w:val="both"/>
        <w:rPr>
          <w:rFonts w:ascii="Barlow" w:hAnsi="Barlow"/>
          <w:b/>
          <w:sz w:val="20"/>
          <w:szCs w:val="20"/>
        </w:rPr>
      </w:pPr>
      <w:r w:rsidRPr="006E4B35">
        <w:rPr>
          <w:rFonts w:ascii="Barlow" w:hAnsi="Barlow"/>
          <w:b/>
          <w:sz w:val="20"/>
          <w:szCs w:val="20"/>
        </w:rPr>
        <w:t xml:space="preserve">1. </w:t>
      </w:r>
      <w:r w:rsidR="007D1BB5" w:rsidRPr="006E4B35">
        <w:rPr>
          <w:rFonts w:ascii="Barlow" w:hAnsi="Barlow"/>
          <w:sz w:val="20"/>
          <w:szCs w:val="20"/>
        </w:rPr>
        <w:t>Presentar la declaración y pago provisional mensual de Retenciones del Impuesto sobre la Renta por Sueldos y Salarios.</w:t>
      </w:r>
    </w:p>
    <w:p w:rsidR="00252CCB" w:rsidRPr="006E4B35" w:rsidRDefault="00FE5FBD" w:rsidP="006E4B35">
      <w:pPr>
        <w:spacing w:line="360" w:lineRule="auto"/>
        <w:jc w:val="both"/>
        <w:rPr>
          <w:rFonts w:ascii="Barlow" w:hAnsi="Barlow"/>
          <w:sz w:val="20"/>
          <w:szCs w:val="20"/>
        </w:rPr>
      </w:pPr>
      <w:r w:rsidRPr="006E4B35">
        <w:rPr>
          <w:rFonts w:ascii="Barlow" w:hAnsi="Barlow"/>
          <w:b/>
          <w:sz w:val="20"/>
          <w:szCs w:val="20"/>
        </w:rPr>
        <w:t xml:space="preserve">2. </w:t>
      </w:r>
      <w:r w:rsidR="007D1BB5" w:rsidRPr="006E4B35">
        <w:rPr>
          <w:rFonts w:ascii="Barlow" w:hAnsi="Barlow"/>
          <w:sz w:val="20"/>
          <w:szCs w:val="20"/>
        </w:rPr>
        <w:t xml:space="preserve">Presentar la declaración </w:t>
      </w:r>
      <w:r w:rsidR="00252CCB" w:rsidRPr="006E4B35">
        <w:rPr>
          <w:rFonts w:ascii="Barlow" w:hAnsi="Barlow"/>
          <w:sz w:val="20"/>
          <w:szCs w:val="20"/>
        </w:rPr>
        <w:t>anual</w:t>
      </w:r>
      <w:r w:rsidR="007D1BB5" w:rsidRPr="006E4B35">
        <w:rPr>
          <w:rFonts w:ascii="Barlow" w:hAnsi="Barlow"/>
          <w:sz w:val="20"/>
          <w:szCs w:val="20"/>
        </w:rPr>
        <w:t xml:space="preserve"> del Impuesto sobre la Renta donde informen</w:t>
      </w:r>
      <w:r w:rsidR="00252CCB" w:rsidRPr="006E4B35">
        <w:rPr>
          <w:rFonts w:ascii="Barlow" w:hAnsi="Barlow"/>
          <w:sz w:val="20"/>
          <w:szCs w:val="20"/>
        </w:rPr>
        <w:t xml:space="preserve"> sobre los pagos y retenciones de Servicios Profesionales</w:t>
      </w:r>
    </w:p>
    <w:p w:rsidR="00252CCB" w:rsidRPr="006E4B35" w:rsidRDefault="00FE5FBD" w:rsidP="006E4B35">
      <w:pPr>
        <w:spacing w:line="360" w:lineRule="auto"/>
        <w:jc w:val="both"/>
        <w:rPr>
          <w:rFonts w:ascii="Barlow" w:hAnsi="Barlow"/>
          <w:sz w:val="20"/>
          <w:szCs w:val="20"/>
        </w:rPr>
      </w:pPr>
      <w:r w:rsidRPr="006E4B35">
        <w:rPr>
          <w:rFonts w:ascii="Barlow" w:hAnsi="Barlow"/>
          <w:b/>
          <w:sz w:val="20"/>
          <w:szCs w:val="20"/>
        </w:rPr>
        <w:t>3.</w:t>
      </w:r>
      <w:r w:rsidR="00A73D85" w:rsidRPr="006E4B35">
        <w:rPr>
          <w:rFonts w:ascii="Barlow" w:hAnsi="Barlow"/>
          <w:b/>
          <w:sz w:val="20"/>
          <w:szCs w:val="20"/>
        </w:rPr>
        <w:t xml:space="preserve"> </w:t>
      </w:r>
      <w:r w:rsidR="00252CCB" w:rsidRPr="006E4B35">
        <w:rPr>
          <w:rFonts w:ascii="Barlow" w:hAnsi="Barlow"/>
          <w:sz w:val="20"/>
          <w:szCs w:val="20"/>
        </w:rPr>
        <w:t>Presentar la declaración anual donde se informe sobre las retenciones de los trabajadores que recibieron sueldos y salarios y trabajadores asimilados a salarios.</w:t>
      </w:r>
    </w:p>
    <w:p w:rsidR="008460F2" w:rsidRPr="006E4B35" w:rsidRDefault="008460F2" w:rsidP="006E4B35">
      <w:pPr>
        <w:spacing w:line="360" w:lineRule="auto"/>
        <w:jc w:val="both"/>
        <w:rPr>
          <w:rFonts w:ascii="Barlow" w:hAnsi="Barlow"/>
          <w:b/>
          <w:sz w:val="20"/>
          <w:szCs w:val="20"/>
        </w:rPr>
      </w:pPr>
      <w:r w:rsidRPr="006E4B35">
        <w:rPr>
          <w:rFonts w:ascii="Barlow" w:hAnsi="Barlow"/>
          <w:b/>
          <w:sz w:val="20"/>
          <w:szCs w:val="20"/>
        </w:rPr>
        <w:t xml:space="preserve">Estructura </w:t>
      </w:r>
      <w:r w:rsidR="001D1F58" w:rsidRPr="006E4B35">
        <w:rPr>
          <w:rFonts w:ascii="Barlow" w:hAnsi="Barlow"/>
          <w:b/>
          <w:sz w:val="20"/>
          <w:szCs w:val="20"/>
        </w:rPr>
        <w:t>O</w:t>
      </w:r>
      <w:r w:rsidRPr="006E4B35">
        <w:rPr>
          <w:rFonts w:ascii="Barlow" w:hAnsi="Barlow"/>
          <w:b/>
          <w:sz w:val="20"/>
          <w:szCs w:val="20"/>
        </w:rPr>
        <w:t>rganizacional básica</w:t>
      </w:r>
    </w:p>
    <w:p w:rsidR="008460F2" w:rsidRPr="006E4B35" w:rsidRDefault="008460F2" w:rsidP="006E4B35">
      <w:pPr>
        <w:spacing w:line="360" w:lineRule="auto"/>
        <w:jc w:val="both"/>
        <w:rPr>
          <w:rFonts w:ascii="Barlow" w:hAnsi="Barlow"/>
          <w:b/>
          <w:sz w:val="20"/>
          <w:szCs w:val="20"/>
        </w:rPr>
      </w:pPr>
    </w:p>
    <w:p w:rsidR="008460F2" w:rsidRDefault="008460F2" w:rsidP="009243D4">
      <w:pPr>
        <w:spacing w:line="360" w:lineRule="auto"/>
        <w:jc w:val="both"/>
        <w:rPr>
          <w:rFonts w:ascii="Barlow" w:hAnsi="Barlow"/>
          <w:sz w:val="20"/>
          <w:szCs w:val="20"/>
        </w:rPr>
      </w:pPr>
      <w:r w:rsidRPr="006E4B35">
        <w:rPr>
          <w:rFonts w:ascii="Barlow" w:hAnsi="Barlow"/>
          <w:sz w:val="20"/>
          <w:szCs w:val="20"/>
        </w:rPr>
        <w:t>El Sistema para el Desarrollo Integral de la Familia en Yucatán</w:t>
      </w:r>
      <w:r w:rsidR="001B6DEF" w:rsidRPr="006E4B35">
        <w:rPr>
          <w:rFonts w:ascii="Barlow" w:hAnsi="Barlow"/>
          <w:sz w:val="20"/>
          <w:szCs w:val="20"/>
        </w:rPr>
        <w:t xml:space="preserve">, se integra por un Patronato, una Junta de Gobierno; un Director General, un Secretaría Particular y una Secretaría Técnica; dos subdirecciones Operativa y Administrativa, siete Direcciones (Desarrollo Comunitario y Alimentación, Atención a la Infancia y a la Familia, CREE, CROPAFY, PRODEMEFA, CAIMEDE y la PLANTA INDUSTRIALIZADORA) así mismo, tiene veintidós departamentos. </w:t>
      </w:r>
    </w:p>
    <w:p w:rsidR="006E4B35" w:rsidRDefault="006E4B35" w:rsidP="009243D4">
      <w:pPr>
        <w:spacing w:line="360" w:lineRule="auto"/>
        <w:jc w:val="both"/>
        <w:rPr>
          <w:rFonts w:ascii="Barlow" w:hAnsi="Barlow"/>
          <w:sz w:val="20"/>
          <w:szCs w:val="20"/>
        </w:rPr>
      </w:pPr>
    </w:p>
    <w:p w:rsidR="00FE5FBD" w:rsidRPr="006E4B35" w:rsidRDefault="00BE0194" w:rsidP="009243D4">
      <w:pPr>
        <w:spacing w:line="360" w:lineRule="auto"/>
        <w:jc w:val="both"/>
        <w:rPr>
          <w:rFonts w:ascii="Barlow" w:hAnsi="Barlow"/>
          <w:b/>
          <w:sz w:val="20"/>
          <w:szCs w:val="20"/>
        </w:rPr>
      </w:pPr>
      <w:r w:rsidRPr="006E4B35">
        <w:rPr>
          <w:rFonts w:ascii="Barlow" w:hAnsi="Barlow"/>
          <w:b/>
          <w:sz w:val="20"/>
          <w:szCs w:val="20"/>
        </w:rPr>
        <w:t>Bases de preparación de Estados Financieros</w:t>
      </w:r>
    </w:p>
    <w:p w:rsidR="002A7155" w:rsidRPr="006E4B35" w:rsidRDefault="002A7155" w:rsidP="009243D4">
      <w:pPr>
        <w:spacing w:line="360" w:lineRule="auto"/>
        <w:jc w:val="both"/>
        <w:rPr>
          <w:rFonts w:ascii="Barlow" w:hAnsi="Barlow"/>
          <w:b/>
          <w:sz w:val="20"/>
          <w:szCs w:val="20"/>
        </w:rPr>
      </w:pPr>
    </w:p>
    <w:p w:rsidR="00153EB7" w:rsidRPr="006E4B35" w:rsidRDefault="00153EB7" w:rsidP="009243D4">
      <w:pPr>
        <w:spacing w:line="360" w:lineRule="auto"/>
        <w:jc w:val="both"/>
        <w:rPr>
          <w:rFonts w:ascii="Barlow" w:hAnsi="Barlow"/>
          <w:sz w:val="20"/>
          <w:szCs w:val="20"/>
        </w:rPr>
      </w:pPr>
      <w:r w:rsidRPr="006E4B35">
        <w:rPr>
          <w:rFonts w:ascii="Barlow" w:hAnsi="Barlow"/>
          <w:sz w:val="20"/>
          <w:szCs w:val="20"/>
        </w:rPr>
        <w:t xml:space="preserve">El Sistema para el Desarrollo Integral de la Familia en Yucatán emite estados Financieros conforme a la normatividad emitida por el CONAC, </w:t>
      </w:r>
      <w:r w:rsidR="00651483" w:rsidRPr="006E4B35">
        <w:rPr>
          <w:rFonts w:ascii="Barlow" w:hAnsi="Barlow"/>
          <w:sz w:val="20"/>
          <w:szCs w:val="20"/>
        </w:rPr>
        <w:t xml:space="preserve">a partir del presente ejercicio </w:t>
      </w:r>
      <w:r w:rsidR="005D001F" w:rsidRPr="006E4B35">
        <w:rPr>
          <w:rFonts w:ascii="Barlow" w:hAnsi="Barlow"/>
          <w:sz w:val="20"/>
          <w:szCs w:val="20"/>
        </w:rPr>
        <w:t>fiscal,</w:t>
      </w:r>
      <w:r w:rsidR="00651483" w:rsidRPr="006E4B35">
        <w:rPr>
          <w:rFonts w:ascii="Barlow" w:hAnsi="Barlow"/>
          <w:sz w:val="20"/>
          <w:szCs w:val="20"/>
        </w:rPr>
        <w:t xml:space="preserve"> se empieza a utilizar el sistema desarrollado por el INDETEC, el SAACG.net, como sistema de c</w:t>
      </w:r>
      <w:r w:rsidRPr="006E4B35">
        <w:rPr>
          <w:rFonts w:ascii="Barlow" w:hAnsi="Barlow"/>
          <w:sz w:val="20"/>
          <w:szCs w:val="20"/>
        </w:rPr>
        <w:t>ontabilidad Gubernamental</w:t>
      </w:r>
      <w:r w:rsidR="005D001F" w:rsidRPr="006E4B35">
        <w:rPr>
          <w:rFonts w:ascii="Barlow" w:hAnsi="Barlow"/>
          <w:sz w:val="20"/>
          <w:szCs w:val="20"/>
        </w:rPr>
        <w:t>.</w:t>
      </w:r>
    </w:p>
    <w:p w:rsidR="0047562E" w:rsidRPr="006E4B35" w:rsidRDefault="0047562E" w:rsidP="009243D4">
      <w:pPr>
        <w:spacing w:line="360" w:lineRule="auto"/>
        <w:jc w:val="both"/>
        <w:rPr>
          <w:rFonts w:ascii="Barlow" w:hAnsi="Barlow"/>
          <w:sz w:val="20"/>
          <w:szCs w:val="20"/>
        </w:rPr>
      </w:pPr>
      <w:r w:rsidRPr="006E4B35">
        <w:rPr>
          <w:rFonts w:ascii="Barlow" w:hAnsi="Barlow"/>
          <w:sz w:val="20"/>
          <w:szCs w:val="20"/>
        </w:rPr>
        <w:t>Los Estados Financieros del Sistema se llevan en apego a los Postulados Básicos de Contabilidad Gubernamental, tales como: Sustancia Económica; Entes Públicos; Existencia Permanente; Revelación Suficiente; Importancia Relativa; Consolidación de Estados Financieros; Devengo Contable; Valuación; dualidad Económica y Consistencia.</w:t>
      </w:r>
    </w:p>
    <w:p w:rsidR="00C5325A" w:rsidRPr="006E4B35" w:rsidRDefault="00C5325A" w:rsidP="006E4B35">
      <w:pPr>
        <w:spacing w:line="360" w:lineRule="auto"/>
        <w:jc w:val="both"/>
        <w:rPr>
          <w:rFonts w:ascii="Barlow" w:hAnsi="Barlow"/>
          <w:sz w:val="20"/>
          <w:szCs w:val="20"/>
        </w:rPr>
      </w:pPr>
    </w:p>
    <w:p w:rsidR="002600ED" w:rsidRPr="006E4B35" w:rsidRDefault="002600ED" w:rsidP="006E4B35">
      <w:pPr>
        <w:spacing w:line="360" w:lineRule="auto"/>
        <w:jc w:val="both"/>
        <w:rPr>
          <w:rFonts w:ascii="Barlow" w:hAnsi="Barlow"/>
          <w:b/>
          <w:sz w:val="20"/>
          <w:szCs w:val="20"/>
        </w:rPr>
      </w:pPr>
      <w:r w:rsidRPr="006E4B35">
        <w:rPr>
          <w:rFonts w:ascii="Barlow" w:hAnsi="Barlow"/>
          <w:b/>
          <w:sz w:val="20"/>
          <w:szCs w:val="20"/>
        </w:rPr>
        <w:t>Políticas de contabilidad significativas</w:t>
      </w:r>
    </w:p>
    <w:p w:rsidR="002A7155" w:rsidRPr="006E4B35" w:rsidRDefault="002A7155" w:rsidP="006E4B35">
      <w:pPr>
        <w:spacing w:line="360" w:lineRule="auto"/>
        <w:jc w:val="both"/>
        <w:rPr>
          <w:rFonts w:ascii="Barlow" w:hAnsi="Barlow"/>
          <w:b/>
          <w:sz w:val="20"/>
          <w:szCs w:val="20"/>
        </w:rPr>
      </w:pPr>
    </w:p>
    <w:p w:rsidR="002600ED" w:rsidRPr="006E4B35" w:rsidRDefault="002600ED" w:rsidP="006E4B35">
      <w:pPr>
        <w:spacing w:line="360" w:lineRule="auto"/>
        <w:jc w:val="both"/>
        <w:rPr>
          <w:rFonts w:ascii="Barlow" w:hAnsi="Barlow"/>
          <w:sz w:val="20"/>
          <w:szCs w:val="20"/>
        </w:rPr>
      </w:pPr>
      <w:r w:rsidRPr="006E4B35">
        <w:rPr>
          <w:rFonts w:ascii="Barlow" w:hAnsi="Barlow"/>
          <w:sz w:val="20"/>
          <w:szCs w:val="20"/>
        </w:rPr>
        <w:t>En cuanto a la actualización del valor de los activos, especialmente en bienes muebles, se informa que está en proceso de actualización y registro de los bienes que cuentan con valor.</w:t>
      </w:r>
    </w:p>
    <w:p w:rsidR="002600ED" w:rsidRPr="006E4B35" w:rsidRDefault="002600ED" w:rsidP="006E4B35">
      <w:pPr>
        <w:spacing w:line="360" w:lineRule="auto"/>
        <w:jc w:val="both"/>
        <w:rPr>
          <w:rFonts w:ascii="Barlow" w:hAnsi="Barlow"/>
          <w:sz w:val="20"/>
          <w:szCs w:val="20"/>
        </w:rPr>
      </w:pPr>
      <w:r w:rsidRPr="006E4B35">
        <w:rPr>
          <w:rFonts w:ascii="Barlow" w:hAnsi="Barlow"/>
          <w:sz w:val="20"/>
          <w:szCs w:val="20"/>
        </w:rPr>
        <w:t xml:space="preserve">El Sistema DIF no </w:t>
      </w:r>
      <w:r w:rsidR="002A7155" w:rsidRPr="006E4B35">
        <w:rPr>
          <w:rFonts w:ascii="Barlow" w:hAnsi="Barlow"/>
          <w:sz w:val="20"/>
          <w:szCs w:val="20"/>
        </w:rPr>
        <w:t xml:space="preserve">realiza operaciones </w:t>
      </w:r>
      <w:r w:rsidRPr="006E4B35">
        <w:rPr>
          <w:rFonts w:ascii="Barlow" w:hAnsi="Barlow"/>
          <w:sz w:val="20"/>
          <w:szCs w:val="20"/>
        </w:rPr>
        <w:t>en el extranjero.</w:t>
      </w:r>
    </w:p>
    <w:p w:rsidR="002600ED" w:rsidRPr="006E4B35" w:rsidRDefault="002600ED" w:rsidP="006E4B35">
      <w:pPr>
        <w:spacing w:line="360" w:lineRule="auto"/>
        <w:jc w:val="both"/>
        <w:rPr>
          <w:rFonts w:ascii="Barlow" w:hAnsi="Barlow"/>
          <w:sz w:val="20"/>
          <w:szCs w:val="20"/>
        </w:rPr>
      </w:pPr>
      <w:r w:rsidRPr="006E4B35">
        <w:rPr>
          <w:rFonts w:ascii="Barlow" w:hAnsi="Barlow"/>
          <w:sz w:val="20"/>
          <w:szCs w:val="20"/>
        </w:rPr>
        <w:t>El Sistema DIF no tiene inversión en compañías subsidiarias no consolidadas y asociadas.</w:t>
      </w:r>
    </w:p>
    <w:p w:rsidR="002A7155" w:rsidRPr="006E4B35" w:rsidRDefault="002A7155" w:rsidP="006E4B35">
      <w:pPr>
        <w:spacing w:line="360" w:lineRule="auto"/>
        <w:jc w:val="both"/>
        <w:rPr>
          <w:rFonts w:ascii="Barlow" w:hAnsi="Barlow"/>
          <w:sz w:val="20"/>
          <w:szCs w:val="20"/>
        </w:rPr>
      </w:pPr>
      <w:r w:rsidRPr="006E4B35">
        <w:rPr>
          <w:rFonts w:ascii="Barlow" w:hAnsi="Barlow"/>
          <w:sz w:val="20"/>
          <w:szCs w:val="20"/>
        </w:rPr>
        <w:t>El sistema de valuación de los inventarios en el Sistema es primeras entradas primeras salidas.</w:t>
      </w:r>
    </w:p>
    <w:p w:rsidR="002600ED" w:rsidRPr="006E4B35" w:rsidRDefault="002600ED" w:rsidP="006E4B35">
      <w:pPr>
        <w:spacing w:line="360" w:lineRule="auto"/>
        <w:jc w:val="both"/>
        <w:rPr>
          <w:rFonts w:ascii="Barlow" w:hAnsi="Barlow"/>
          <w:sz w:val="20"/>
          <w:szCs w:val="20"/>
        </w:rPr>
      </w:pPr>
      <w:r w:rsidRPr="006E4B35">
        <w:rPr>
          <w:rFonts w:ascii="Barlow" w:hAnsi="Barlow"/>
          <w:sz w:val="20"/>
          <w:szCs w:val="20"/>
        </w:rPr>
        <w:t>A la presente fecha el Sistema DIF no cuenta con provisiones ni reservas creadas.</w:t>
      </w:r>
    </w:p>
    <w:p w:rsidR="002A7155" w:rsidRPr="006E4B35" w:rsidRDefault="002A7155" w:rsidP="006E4B35">
      <w:pPr>
        <w:spacing w:line="360" w:lineRule="auto"/>
        <w:jc w:val="both"/>
        <w:rPr>
          <w:rFonts w:ascii="Barlow" w:hAnsi="Barlow"/>
          <w:sz w:val="20"/>
          <w:szCs w:val="20"/>
        </w:rPr>
      </w:pPr>
      <w:r w:rsidRPr="006E4B35">
        <w:rPr>
          <w:rFonts w:ascii="Barlow" w:hAnsi="Barlow"/>
          <w:sz w:val="20"/>
          <w:szCs w:val="20"/>
        </w:rPr>
        <w:t>Durante el período que se informa no se realizaron reclasificaciones.</w:t>
      </w:r>
    </w:p>
    <w:p w:rsidR="002600ED" w:rsidRPr="006E4B35" w:rsidRDefault="002600ED" w:rsidP="006E4B35">
      <w:pPr>
        <w:spacing w:line="360" w:lineRule="auto"/>
        <w:jc w:val="both"/>
        <w:rPr>
          <w:rFonts w:ascii="Barlow" w:hAnsi="Barlow"/>
          <w:sz w:val="20"/>
          <w:szCs w:val="20"/>
        </w:rPr>
      </w:pPr>
    </w:p>
    <w:p w:rsidR="00C952A6" w:rsidRPr="006E4B35" w:rsidRDefault="00C952A6" w:rsidP="006E4B35">
      <w:pPr>
        <w:spacing w:line="360" w:lineRule="auto"/>
        <w:jc w:val="both"/>
        <w:rPr>
          <w:rFonts w:ascii="Barlow" w:hAnsi="Barlow"/>
          <w:sz w:val="20"/>
          <w:szCs w:val="20"/>
        </w:rPr>
      </w:pPr>
      <w:r w:rsidRPr="006E4B35">
        <w:rPr>
          <w:rFonts w:ascii="Barlow" w:hAnsi="Barlow"/>
          <w:b/>
          <w:sz w:val="20"/>
          <w:szCs w:val="20"/>
        </w:rPr>
        <w:t>Posición  en Moneda Extranjera y Protección por Riesgo Cambiario</w:t>
      </w:r>
    </w:p>
    <w:p w:rsidR="00C952A6" w:rsidRPr="006E4B35" w:rsidRDefault="00C952A6" w:rsidP="006E4B35">
      <w:pPr>
        <w:spacing w:line="360" w:lineRule="auto"/>
        <w:jc w:val="both"/>
        <w:rPr>
          <w:rFonts w:ascii="Barlow" w:hAnsi="Barlow"/>
          <w:sz w:val="20"/>
          <w:szCs w:val="20"/>
        </w:rPr>
      </w:pPr>
      <w:r w:rsidRPr="006E4B35">
        <w:rPr>
          <w:rFonts w:ascii="Barlow" w:hAnsi="Barlow"/>
          <w:sz w:val="20"/>
          <w:szCs w:val="20"/>
        </w:rPr>
        <w:t>El Sistema no cuenta con Act</w:t>
      </w:r>
      <w:r w:rsidR="002600ED" w:rsidRPr="006E4B35">
        <w:rPr>
          <w:rFonts w:ascii="Barlow" w:hAnsi="Barlow"/>
          <w:sz w:val="20"/>
          <w:szCs w:val="20"/>
        </w:rPr>
        <w:t xml:space="preserve">ivos y </w:t>
      </w:r>
      <w:r w:rsidRPr="006E4B35">
        <w:rPr>
          <w:rFonts w:ascii="Barlow" w:hAnsi="Barlow"/>
          <w:sz w:val="20"/>
          <w:szCs w:val="20"/>
        </w:rPr>
        <w:t xml:space="preserve"> Pasivos en moneda extranjera.</w:t>
      </w:r>
    </w:p>
    <w:p w:rsidR="00027FD0" w:rsidRPr="006E4B35" w:rsidRDefault="00027FD0" w:rsidP="006E4B35">
      <w:pPr>
        <w:spacing w:line="360" w:lineRule="auto"/>
        <w:jc w:val="both"/>
        <w:rPr>
          <w:rFonts w:ascii="Barlow" w:hAnsi="Barlow"/>
          <w:sz w:val="20"/>
          <w:szCs w:val="20"/>
        </w:rPr>
      </w:pPr>
    </w:p>
    <w:p w:rsidR="00C952A6" w:rsidRPr="006E4B35" w:rsidRDefault="00C952A6" w:rsidP="006E4B35">
      <w:pPr>
        <w:spacing w:line="360" w:lineRule="auto"/>
        <w:jc w:val="both"/>
        <w:rPr>
          <w:rFonts w:ascii="Barlow" w:hAnsi="Barlow"/>
          <w:b/>
          <w:sz w:val="20"/>
          <w:szCs w:val="20"/>
        </w:rPr>
      </w:pPr>
      <w:r w:rsidRPr="006E4B35">
        <w:rPr>
          <w:rFonts w:ascii="Barlow" w:hAnsi="Barlow"/>
          <w:b/>
          <w:sz w:val="20"/>
          <w:szCs w:val="20"/>
        </w:rPr>
        <w:t>Reporte Analítico del Activo</w:t>
      </w:r>
    </w:p>
    <w:p w:rsidR="00C952A6" w:rsidRPr="006E4B35" w:rsidRDefault="00C952A6" w:rsidP="006E4B35">
      <w:pPr>
        <w:spacing w:line="360" w:lineRule="auto"/>
        <w:jc w:val="both"/>
        <w:rPr>
          <w:rFonts w:ascii="Barlow" w:hAnsi="Barlow"/>
          <w:b/>
          <w:sz w:val="20"/>
          <w:szCs w:val="20"/>
        </w:rPr>
      </w:pPr>
    </w:p>
    <w:p w:rsidR="00F00AFC" w:rsidRDefault="00C952A6" w:rsidP="006E4B35">
      <w:pPr>
        <w:spacing w:line="360" w:lineRule="auto"/>
        <w:jc w:val="both"/>
        <w:rPr>
          <w:rFonts w:ascii="Barlow" w:hAnsi="Barlow"/>
          <w:sz w:val="20"/>
          <w:szCs w:val="20"/>
        </w:rPr>
      </w:pPr>
      <w:r w:rsidRPr="006E4B35">
        <w:rPr>
          <w:rFonts w:ascii="Barlow" w:hAnsi="Barlow"/>
          <w:sz w:val="20"/>
          <w:szCs w:val="20"/>
        </w:rPr>
        <w:t>El Sistema para el Desarrollo Integral de la Familia en Yucatán</w:t>
      </w:r>
      <w:r w:rsidRPr="006E4B35">
        <w:rPr>
          <w:rFonts w:ascii="Barlow" w:hAnsi="Barlow"/>
          <w:b/>
          <w:sz w:val="20"/>
          <w:szCs w:val="20"/>
        </w:rPr>
        <w:t xml:space="preserve"> </w:t>
      </w:r>
      <w:r w:rsidRPr="0049189E">
        <w:rPr>
          <w:rFonts w:ascii="Barlow" w:hAnsi="Barlow"/>
          <w:sz w:val="20"/>
          <w:szCs w:val="20"/>
        </w:rPr>
        <w:t>e</w:t>
      </w:r>
    </w:p>
    <w:p w:rsidR="00C952A6" w:rsidRPr="006E4B35" w:rsidRDefault="00C952A6" w:rsidP="006E4B35">
      <w:pPr>
        <w:spacing w:line="360" w:lineRule="auto"/>
        <w:jc w:val="both"/>
        <w:rPr>
          <w:rFonts w:ascii="Barlow" w:hAnsi="Barlow"/>
          <w:sz w:val="20"/>
          <w:szCs w:val="20"/>
        </w:rPr>
      </w:pPr>
      <w:r w:rsidRPr="006E4B35">
        <w:rPr>
          <w:rFonts w:ascii="Barlow" w:hAnsi="Barlow"/>
          <w:sz w:val="20"/>
          <w:szCs w:val="20"/>
        </w:rPr>
        <w:t xml:space="preserve">n cumplimiento a la publicación del día 15 de agosto de 2012 del Diario Oficial de la Federación, en lo referente a los PARAMETROS de Estimación de Vida Útil, anexo la forma en que se aplico la depreciación de bienes muebles es la siguiente: considerando los bienes muebles que se adquirieron hasta 2012 con el mismo porcentaje de depreciación desde su inicio; los Bienes Muebles adquiridos a partir de enero de 2013 se aplicara el porcentaje de depreciación anual emitido en la Ley General de Contabilidad Gubernamental. </w:t>
      </w:r>
    </w:p>
    <w:p w:rsidR="002A7155" w:rsidRPr="006E4B35" w:rsidRDefault="002A7155" w:rsidP="006E4B35">
      <w:pPr>
        <w:spacing w:line="360" w:lineRule="auto"/>
        <w:jc w:val="both"/>
        <w:rPr>
          <w:rFonts w:ascii="Barlow" w:hAnsi="Barlow"/>
          <w:sz w:val="20"/>
          <w:szCs w:val="20"/>
        </w:rPr>
      </w:pPr>
    </w:p>
    <w:p w:rsidR="00C952A6" w:rsidRPr="006E4B35" w:rsidRDefault="00C952A6" w:rsidP="006E4B35">
      <w:pPr>
        <w:spacing w:line="360" w:lineRule="auto"/>
        <w:jc w:val="both"/>
        <w:rPr>
          <w:rFonts w:ascii="Barlow" w:hAnsi="Barlow"/>
          <w:sz w:val="20"/>
          <w:szCs w:val="20"/>
        </w:rPr>
      </w:pPr>
      <w:r w:rsidRPr="006E4B35">
        <w:rPr>
          <w:rFonts w:ascii="Barlow" w:hAnsi="Barlow"/>
          <w:sz w:val="20"/>
          <w:szCs w:val="20"/>
        </w:rPr>
        <w:t xml:space="preserve">Cabe mencionar que a la presente fecha el Sistema </w:t>
      </w:r>
      <w:r w:rsidR="007D17E9" w:rsidRPr="006E4B35">
        <w:rPr>
          <w:rFonts w:ascii="Barlow" w:hAnsi="Barlow"/>
          <w:sz w:val="20"/>
          <w:szCs w:val="20"/>
        </w:rPr>
        <w:t xml:space="preserve">DIF </w:t>
      </w:r>
      <w:r w:rsidRPr="006E4B35">
        <w:rPr>
          <w:rFonts w:ascii="Barlow" w:hAnsi="Barlow"/>
          <w:sz w:val="20"/>
          <w:szCs w:val="20"/>
        </w:rPr>
        <w:t>no tiene conciliado el rubro de Bienes Muebles</w:t>
      </w:r>
      <w:r w:rsidR="007D17E9" w:rsidRPr="006E4B35">
        <w:rPr>
          <w:rFonts w:ascii="Barlow" w:hAnsi="Barlow"/>
          <w:sz w:val="20"/>
          <w:szCs w:val="20"/>
        </w:rPr>
        <w:t xml:space="preserve"> con contabilidad, sin embargo, existe un inventario </w:t>
      </w:r>
      <w:r w:rsidR="00F170F3" w:rsidRPr="006E4B35">
        <w:rPr>
          <w:rFonts w:ascii="Barlow" w:hAnsi="Barlow"/>
          <w:sz w:val="20"/>
          <w:szCs w:val="20"/>
        </w:rPr>
        <w:t xml:space="preserve">detallado </w:t>
      </w:r>
      <w:r w:rsidR="007D17E9" w:rsidRPr="006E4B35">
        <w:rPr>
          <w:rFonts w:ascii="Barlow" w:hAnsi="Barlow"/>
          <w:sz w:val="20"/>
          <w:szCs w:val="20"/>
        </w:rPr>
        <w:t>de ellos al 100%, y actualmente estamos en proceso de valuación cada uno de ellos.</w:t>
      </w:r>
    </w:p>
    <w:p w:rsidR="00FC7705" w:rsidRPr="006E4B35" w:rsidRDefault="002A7155" w:rsidP="009243D4">
      <w:pPr>
        <w:spacing w:line="360" w:lineRule="auto"/>
        <w:jc w:val="both"/>
        <w:rPr>
          <w:rFonts w:ascii="Barlow" w:hAnsi="Barlow"/>
          <w:b/>
          <w:sz w:val="20"/>
          <w:szCs w:val="20"/>
        </w:rPr>
      </w:pPr>
      <w:r w:rsidRPr="006E4B35">
        <w:rPr>
          <w:rFonts w:ascii="Barlow" w:hAnsi="Barlow"/>
          <w:b/>
          <w:sz w:val="20"/>
          <w:szCs w:val="20"/>
        </w:rPr>
        <w:t>Fideicomisos, Mandatos y Análogos</w:t>
      </w:r>
    </w:p>
    <w:p w:rsidR="002A7155" w:rsidRPr="006E4B35" w:rsidRDefault="002A7155" w:rsidP="009243D4">
      <w:pPr>
        <w:spacing w:line="360" w:lineRule="auto"/>
        <w:jc w:val="both"/>
        <w:rPr>
          <w:rFonts w:ascii="Barlow" w:hAnsi="Barlow"/>
          <w:sz w:val="20"/>
          <w:szCs w:val="20"/>
        </w:rPr>
      </w:pPr>
      <w:r w:rsidRPr="006E4B35">
        <w:rPr>
          <w:rFonts w:ascii="Barlow" w:hAnsi="Barlow"/>
          <w:sz w:val="20"/>
          <w:szCs w:val="20"/>
        </w:rPr>
        <w:t>No aplica</w:t>
      </w:r>
    </w:p>
    <w:p w:rsidR="002A7155" w:rsidRPr="006E4B35" w:rsidRDefault="002A7155" w:rsidP="009243D4">
      <w:pPr>
        <w:spacing w:line="360" w:lineRule="auto"/>
        <w:jc w:val="both"/>
        <w:rPr>
          <w:rFonts w:ascii="Barlow" w:hAnsi="Barlow"/>
          <w:b/>
          <w:sz w:val="20"/>
          <w:szCs w:val="20"/>
        </w:rPr>
      </w:pPr>
      <w:r w:rsidRPr="006E4B35">
        <w:rPr>
          <w:rFonts w:ascii="Barlow" w:hAnsi="Barlow"/>
          <w:b/>
          <w:sz w:val="20"/>
          <w:szCs w:val="20"/>
        </w:rPr>
        <w:t>Reporte de Recaudación</w:t>
      </w:r>
    </w:p>
    <w:p w:rsidR="00704A2E" w:rsidRPr="006E4B35" w:rsidRDefault="002A7155" w:rsidP="009243D4">
      <w:pPr>
        <w:spacing w:line="360" w:lineRule="auto"/>
        <w:jc w:val="both"/>
        <w:rPr>
          <w:rFonts w:ascii="Barlow" w:hAnsi="Barlow"/>
          <w:b/>
          <w:sz w:val="20"/>
          <w:szCs w:val="20"/>
        </w:rPr>
      </w:pPr>
      <w:r w:rsidRPr="006E4B35">
        <w:rPr>
          <w:rFonts w:ascii="Barlow" w:hAnsi="Barlow"/>
          <w:sz w:val="20"/>
          <w:szCs w:val="20"/>
        </w:rPr>
        <w:t>Entre los ingresos pendientes de recaudación se encuentran la deuda de los Municipios por concepto de Programas Alimentarios, mismos que se esperan  recaudar a mediano plazo. Así mismo tenemos la deuda de la SAF por cuentas pendientes correspondientes a la segunda quincena del mes de diciembre y la cuenta extraordinaria para pago de Laudos e intereses.</w:t>
      </w:r>
      <w:r w:rsidR="00704A2E" w:rsidRPr="006E4B35">
        <w:rPr>
          <w:rFonts w:ascii="Barlow" w:hAnsi="Barlow"/>
          <w:b/>
          <w:sz w:val="20"/>
          <w:szCs w:val="20"/>
        </w:rPr>
        <w:t xml:space="preserve"> </w:t>
      </w:r>
    </w:p>
    <w:p w:rsidR="00704A2E" w:rsidRDefault="00704A2E" w:rsidP="009243D4">
      <w:pPr>
        <w:spacing w:line="360" w:lineRule="auto"/>
        <w:jc w:val="both"/>
        <w:rPr>
          <w:rFonts w:ascii="Barlow" w:hAnsi="Barlow"/>
          <w:b/>
          <w:sz w:val="20"/>
          <w:szCs w:val="20"/>
        </w:rPr>
      </w:pPr>
      <w:r w:rsidRPr="006E4B35">
        <w:rPr>
          <w:rFonts w:ascii="Barlow" w:hAnsi="Barlow"/>
          <w:b/>
          <w:sz w:val="20"/>
          <w:szCs w:val="20"/>
        </w:rPr>
        <w:t>Eventos Posteriores al cierre</w:t>
      </w:r>
    </w:p>
    <w:p w:rsidR="009243D4" w:rsidRPr="009243D4" w:rsidRDefault="009243D4" w:rsidP="009243D4">
      <w:pPr>
        <w:spacing w:line="360" w:lineRule="auto"/>
        <w:jc w:val="both"/>
        <w:rPr>
          <w:rFonts w:ascii="Barlow" w:hAnsi="Barlow"/>
          <w:sz w:val="20"/>
          <w:szCs w:val="20"/>
        </w:rPr>
      </w:pPr>
      <w:r w:rsidRPr="009243D4">
        <w:rPr>
          <w:rFonts w:ascii="Barlow" w:hAnsi="Barlow"/>
          <w:sz w:val="20"/>
          <w:szCs w:val="20"/>
        </w:rPr>
        <w:t xml:space="preserve">Se detecto un registro en otros ingresos en el cual se afecto partidas presupuestales, mismas que se reclasificaran en el mes de </w:t>
      </w:r>
      <w:r w:rsidR="00ED752C">
        <w:rPr>
          <w:rFonts w:ascii="Barlow" w:hAnsi="Barlow"/>
          <w:sz w:val="20"/>
          <w:szCs w:val="20"/>
        </w:rPr>
        <w:t>junio</w:t>
      </w:r>
      <w:r w:rsidRPr="009243D4">
        <w:rPr>
          <w:rFonts w:ascii="Barlow" w:hAnsi="Barlow"/>
          <w:sz w:val="20"/>
          <w:szCs w:val="20"/>
        </w:rPr>
        <w:t>.</w:t>
      </w:r>
    </w:p>
    <w:p w:rsidR="00FE5FBD" w:rsidRPr="006E4B35" w:rsidRDefault="00B82D09" w:rsidP="009243D4">
      <w:pPr>
        <w:spacing w:line="360" w:lineRule="auto"/>
        <w:rPr>
          <w:rFonts w:ascii="Barlow" w:hAnsi="Barlow"/>
          <w:b/>
          <w:sz w:val="20"/>
          <w:szCs w:val="20"/>
        </w:rPr>
      </w:pPr>
      <w:r w:rsidRPr="006E4B35">
        <w:rPr>
          <w:rFonts w:ascii="Barlow" w:hAnsi="Barlow"/>
          <w:b/>
          <w:sz w:val="20"/>
          <w:szCs w:val="20"/>
        </w:rPr>
        <w:t>Información de Segmentos</w:t>
      </w:r>
    </w:p>
    <w:p w:rsidR="00B82D09" w:rsidRDefault="00B82D09" w:rsidP="009243D4">
      <w:pPr>
        <w:spacing w:line="360" w:lineRule="auto"/>
        <w:jc w:val="both"/>
        <w:rPr>
          <w:rFonts w:ascii="Barlow" w:hAnsi="Barlow"/>
          <w:sz w:val="20"/>
          <w:szCs w:val="20"/>
        </w:rPr>
      </w:pPr>
      <w:r w:rsidRPr="006E4B35">
        <w:rPr>
          <w:rFonts w:ascii="Barlow" w:hAnsi="Barlow"/>
          <w:sz w:val="20"/>
          <w:szCs w:val="20"/>
        </w:rPr>
        <w:t xml:space="preserve">El Sistema DIF cuenta con la Planta Industrializadora de Jugos Natura, que pertenece a la misma razón social, pero debido a sus actividades son registradas en una contabilidad aparte, donde se reconocen sus Activos, pasivos y </w:t>
      </w:r>
      <w:r w:rsidR="00F40BFA" w:rsidRPr="006E4B35">
        <w:rPr>
          <w:rFonts w:ascii="Barlow" w:hAnsi="Barlow"/>
          <w:sz w:val="20"/>
          <w:szCs w:val="20"/>
        </w:rPr>
        <w:t>Capital de manera independiente, contando por parte del Sistema de recursos cuando así lo amerite.</w:t>
      </w:r>
    </w:p>
    <w:p w:rsidR="001B2085" w:rsidRPr="006E4B35" w:rsidRDefault="001B2085" w:rsidP="009243D4">
      <w:pPr>
        <w:spacing w:line="360" w:lineRule="auto"/>
        <w:jc w:val="both"/>
        <w:rPr>
          <w:rFonts w:ascii="Barlow" w:hAnsi="Barlow"/>
          <w:sz w:val="20"/>
          <w:szCs w:val="20"/>
        </w:rPr>
      </w:pPr>
    </w:p>
    <w:p w:rsidR="00A070C3" w:rsidRPr="006E4B35" w:rsidRDefault="00F40BFA" w:rsidP="009243D4">
      <w:pPr>
        <w:spacing w:line="360" w:lineRule="auto"/>
        <w:jc w:val="both"/>
        <w:rPr>
          <w:rFonts w:ascii="Barlow" w:hAnsi="Barlow"/>
          <w:sz w:val="20"/>
          <w:szCs w:val="20"/>
        </w:rPr>
      </w:pPr>
      <w:r w:rsidRPr="006E4B35">
        <w:rPr>
          <w:rFonts w:ascii="Barlow" w:hAnsi="Barlow"/>
          <w:sz w:val="20"/>
          <w:szCs w:val="20"/>
        </w:rPr>
        <w:t>Bajo protesta de decir verdad declaramos que los Estados Financieros y sus Notas son razonablemente correctos y responsabilidad del emisor.</w:t>
      </w:r>
    </w:p>
    <w:p w:rsidR="001120F1" w:rsidRPr="006E4B35" w:rsidRDefault="001120F1" w:rsidP="001120F1">
      <w:pPr>
        <w:jc w:val="both"/>
        <w:rPr>
          <w:rFonts w:ascii="Barlow" w:hAnsi="Barlow"/>
          <w:sz w:val="20"/>
          <w:szCs w:val="20"/>
        </w:rPr>
      </w:pPr>
    </w:p>
    <w:p w:rsidR="001120F1" w:rsidRPr="006E4B35" w:rsidRDefault="001120F1" w:rsidP="001120F1">
      <w:pPr>
        <w:jc w:val="both"/>
        <w:rPr>
          <w:rFonts w:ascii="Barlow" w:hAnsi="Barlow"/>
          <w:sz w:val="20"/>
          <w:szCs w:val="20"/>
        </w:rPr>
      </w:pPr>
    </w:p>
    <w:p w:rsidR="001120F1" w:rsidRPr="006E4B35" w:rsidRDefault="001120F1" w:rsidP="001120F1">
      <w:pPr>
        <w:jc w:val="both"/>
        <w:rPr>
          <w:rFonts w:ascii="Barlow" w:hAnsi="Barlow"/>
          <w:sz w:val="20"/>
          <w:szCs w:val="20"/>
        </w:rPr>
      </w:pPr>
    </w:p>
    <w:p w:rsidR="001120F1" w:rsidRPr="006E4B35" w:rsidRDefault="001120F1" w:rsidP="001120F1">
      <w:pPr>
        <w:rPr>
          <w:rFonts w:ascii="Barlow" w:hAnsi="Barlow"/>
          <w:b/>
          <w:sz w:val="20"/>
          <w:szCs w:val="20"/>
        </w:rPr>
      </w:pPr>
      <w:r w:rsidRPr="006E4B35">
        <w:rPr>
          <w:rFonts w:ascii="Barlow" w:hAnsi="Barlow"/>
          <w:b/>
          <w:sz w:val="20"/>
          <w:szCs w:val="20"/>
        </w:rPr>
        <w:t xml:space="preserve">LIC. MARÍA CRISTINA CASTILLO ESPINOSA                              LIC. SERGIO HUMBERTO PÉREZ CANTO              </w:t>
      </w:r>
      <w:r w:rsidR="009243D4">
        <w:rPr>
          <w:rFonts w:ascii="Barlow" w:hAnsi="Barlow"/>
          <w:b/>
          <w:sz w:val="20"/>
          <w:szCs w:val="20"/>
        </w:rPr>
        <w:t xml:space="preserve">                      </w:t>
      </w:r>
      <w:r w:rsidRPr="006E4B35">
        <w:rPr>
          <w:rFonts w:ascii="Barlow" w:hAnsi="Barlow"/>
          <w:b/>
          <w:sz w:val="20"/>
          <w:szCs w:val="20"/>
        </w:rPr>
        <w:t xml:space="preserve">            C.P. LANDY GPE. CASTRO LIZAMA</w:t>
      </w:r>
    </w:p>
    <w:p w:rsidR="001120F1" w:rsidRPr="006E4B35" w:rsidRDefault="001120F1" w:rsidP="001120F1">
      <w:pPr>
        <w:rPr>
          <w:rFonts w:ascii="Barlow" w:hAnsi="Barlow"/>
          <w:sz w:val="20"/>
          <w:szCs w:val="20"/>
        </w:rPr>
      </w:pPr>
      <w:r w:rsidRPr="006E4B35">
        <w:rPr>
          <w:rFonts w:ascii="Barlow" w:hAnsi="Barlow"/>
          <w:sz w:val="20"/>
          <w:szCs w:val="20"/>
        </w:rPr>
        <w:t xml:space="preserve">       </w:t>
      </w:r>
      <w:r w:rsidR="009243D4">
        <w:rPr>
          <w:rFonts w:ascii="Barlow" w:hAnsi="Barlow"/>
          <w:sz w:val="20"/>
          <w:szCs w:val="20"/>
        </w:rPr>
        <w:t xml:space="preserve">           </w:t>
      </w:r>
      <w:r w:rsidRPr="006E4B35">
        <w:rPr>
          <w:rFonts w:ascii="Barlow" w:hAnsi="Barlow"/>
          <w:sz w:val="20"/>
          <w:szCs w:val="20"/>
        </w:rPr>
        <w:t xml:space="preserve">     DIRECTORA GENERAL                                                           SUBDIRECTOR ADMINISTRATIVO                  </w:t>
      </w:r>
      <w:r w:rsidR="009243D4">
        <w:rPr>
          <w:rFonts w:ascii="Barlow" w:hAnsi="Barlow"/>
          <w:sz w:val="20"/>
          <w:szCs w:val="20"/>
        </w:rPr>
        <w:t xml:space="preserve">                     </w:t>
      </w:r>
      <w:r w:rsidRPr="006E4B35">
        <w:rPr>
          <w:rFonts w:ascii="Barlow" w:hAnsi="Barlow"/>
          <w:sz w:val="20"/>
          <w:szCs w:val="20"/>
        </w:rPr>
        <w:t xml:space="preserve">              JEFA DE DEPTO DEL CONTABILIDAD</w:t>
      </w:r>
    </w:p>
    <w:p w:rsidR="001120F1" w:rsidRPr="006E4B35" w:rsidRDefault="001120F1" w:rsidP="001120F1">
      <w:pPr>
        <w:rPr>
          <w:rFonts w:ascii="Barlow" w:hAnsi="Barlow"/>
          <w:sz w:val="20"/>
          <w:szCs w:val="20"/>
        </w:rPr>
      </w:pPr>
      <w:r w:rsidRPr="006E4B35">
        <w:rPr>
          <w:rFonts w:ascii="Barlow" w:hAnsi="Barlow"/>
          <w:sz w:val="20"/>
          <w:szCs w:val="20"/>
        </w:rPr>
        <w:t xml:space="preserve">                  </w:t>
      </w:r>
      <w:r w:rsidR="009243D4">
        <w:rPr>
          <w:rFonts w:ascii="Barlow" w:hAnsi="Barlow"/>
          <w:sz w:val="20"/>
          <w:szCs w:val="20"/>
        </w:rPr>
        <w:t xml:space="preserve">                 </w:t>
      </w:r>
      <w:r w:rsidRPr="006E4B35">
        <w:rPr>
          <w:rFonts w:ascii="Barlow" w:hAnsi="Barlow"/>
          <w:sz w:val="20"/>
          <w:szCs w:val="20"/>
        </w:rPr>
        <w:t xml:space="preserve">  AUTORIZO                                                                                            REVISO                                                                                                               ELABORO</w:t>
      </w:r>
      <w:r w:rsidRPr="006E4B35">
        <w:rPr>
          <w:rFonts w:ascii="Barlow" w:hAnsi="Barlow"/>
          <w:b/>
          <w:sz w:val="20"/>
          <w:szCs w:val="20"/>
        </w:rPr>
        <w:t xml:space="preserve">       </w:t>
      </w:r>
      <w:bookmarkStart w:id="5" w:name="_GoBack"/>
      <w:bookmarkEnd w:id="5"/>
    </w:p>
    <w:sectPr w:rsidR="001120F1" w:rsidRPr="006E4B35" w:rsidSect="006C1EB2">
      <w:headerReference w:type="default" r:id="rId8"/>
      <w:pgSz w:w="15840" w:h="12240" w:orient="landscape"/>
      <w:pgMar w:top="2835"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93A" w:rsidRDefault="0039493A" w:rsidP="00FE5FBD">
      <w:r>
        <w:separator/>
      </w:r>
    </w:p>
  </w:endnote>
  <w:endnote w:type="continuationSeparator" w:id="1">
    <w:p w:rsidR="0039493A" w:rsidRDefault="0039493A" w:rsidP="00FE5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93A" w:rsidRDefault="0039493A" w:rsidP="00FE5FBD">
      <w:r>
        <w:separator/>
      </w:r>
    </w:p>
  </w:footnote>
  <w:footnote w:type="continuationSeparator" w:id="1">
    <w:p w:rsidR="0039493A" w:rsidRDefault="0039493A" w:rsidP="00FE5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CF" w:rsidRPr="008A722C" w:rsidRDefault="002668CF" w:rsidP="00166414">
    <w:pPr>
      <w:spacing w:line="276" w:lineRule="auto"/>
      <w:jc w:val="center"/>
      <w:rPr>
        <w:rFonts w:asciiTheme="minorHAnsi" w:hAnsiTheme="minorHAnsi"/>
        <w:b/>
        <w:i/>
        <w:sz w:val="20"/>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B3E"/>
    <w:multiLevelType w:val="hybridMultilevel"/>
    <w:tmpl w:val="6BCE52BC"/>
    <w:lvl w:ilvl="0" w:tplc="9C02A34E">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
    <w:nsid w:val="13497F1A"/>
    <w:multiLevelType w:val="hybridMultilevel"/>
    <w:tmpl w:val="6F0A5766"/>
    <w:lvl w:ilvl="0" w:tplc="BCE42748">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14B353DE"/>
    <w:multiLevelType w:val="hybridMultilevel"/>
    <w:tmpl w:val="675E0BFA"/>
    <w:lvl w:ilvl="0" w:tplc="080A0001">
      <w:start w:val="1"/>
      <w:numFmt w:val="bullet"/>
      <w:lvlText w:val=""/>
      <w:lvlJc w:val="left"/>
      <w:pPr>
        <w:ind w:left="1776" w:hanging="360"/>
      </w:pPr>
      <w:rPr>
        <w:rFonts w:ascii="Symbol" w:hAnsi="Symbol" w:hint="default"/>
      </w:rPr>
    </w:lvl>
    <w:lvl w:ilvl="1" w:tplc="080A0003">
      <w:start w:val="1"/>
      <w:numFmt w:val="bullet"/>
      <w:lvlText w:val="o"/>
      <w:lvlJc w:val="left"/>
      <w:pPr>
        <w:ind w:left="2496" w:hanging="360"/>
      </w:pPr>
      <w:rPr>
        <w:rFonts w:ascii="Courier New" w:hAnsi="Courier New" w:cs="Courier New" w:hint="default"/>
      </w:rPr>
    </w:lvl>
    <w:lvl w:ilvl="2" w:tplc="080A0005">
      <w:start w:val="1"/>
      <w:numFmt w:val="bullet"/>
      <w:lvlText w:val=""/>
      <w:lvlJc w:val="left"/>
      <w:pPr>
        <w:ind w:left="3216" w:hanging="360"/>
      </w:pPr>
      <w:rPr>
        <w:rFonts w:ascii="Wingdings" w:hAnsi="Wingdings" w:hint="default"/>
      </w:rPr>
    </w:lvl>
    <w:lvl w:ilvl="3" w:tplc="080A0001">
      <w:start w:val="1"/>
      <w:numFmt w:val="bullet"/>
      <w:lvlText w:val=""/>
      <w:lvlJc w:val="left"/>
      <w:pPr>
        <w:ind w:left="3936" w:hanging="360"/>
      </w:pPr>
      <w:rPr>
        <w:rFonts w:ascii="Symbol" w:hAnsi="Symbol" w:hint="default"/>
      </w:rPr>
    </w:lvl>
    <w:lvl w:ilvl="4" w:tplc="080A0003">
      <w:start w:val="1"/>
      <w:numFmt w:val="bullet"/>
      <w:lvlText w:val="o"/>
      <w:lvlJc w:val="left"/>
      <w:pPr>
        <w:ind w:left="4656" w:hanging="360"/>
      </w:pPr>
      <w:rPr>
        <w:rFonts w:ascii="Courier New" w:hAnsi="Courier New" w:cs="Courier New" w:hint="default"/>
      </w:rPr>
    </w:lvl>
    <w:lvl w:ilvl="5" w:tplc="080A0005">
      <w:start w:val="1"/>
      <w:numFmt w:val="bullet"/>
      <w:lvlText w:val=""/>
      <w:lvlJc w:val="left"/>
      <w:pPr>
        <w:ind w:left="5376" w:hanging="360"/>
      </w:pPr>
      <w:rPr>
        <w:rFonts w:ascii="Wingdings" w:hAnsi="Wingdings" w:hint="default"/>
      </w:rPr>
    </w:lvl>
    <w:lvl w:ilvl="6" w:tplc="080A0001">
      <w:start w:val="1"/>
      <w:numFmt w:val="bullet"/>
      <w:lvlText w:val=""/>
      <w:lvlJc w:val="left"/>
      <w:pPr>
        <w:ind w:left="6096" w:hanging="360"/>
      </w:pPr>
      <w:rPr>
        <w:rFonts w:ascii="Symbol" w:hAnsi="Symbol" w:hint="default"/>
      </w:rPr>
    </w:lvl>
    <w:lvl w:ilvl="7" w:tplc="080A0003">
      <w:start w:val="1"/>
      <w:numFmt w:val="bullet"/>
      <w:lvlText w:val="o"/>
      <w:lvlJc w:val="left"/>
      <w:pPr>
        <w:ind w:left="6816" w:hanging="360"/>
      </w:pPr>
      <w:rPr>
        <w:rFonts w:ascii="Courier New" w:hAnsi="Courier New" w:cs="Courier New" w:hint="default"/>
      </w:rPr>
    </w:lvl>
    <w:lvl w:ilvl="8" w:tplc="080A0005">
      <w:start w:val="1"/>
      <w:numFmt w:val="bullet"/>
      <w:lvlText w:val=""/>
      <w:lvlJc w:val="left"/>
      <w:pPr>
        <w:ind w:left="7536" w:hanging="360"/>
      </w:pPr>
      <w:rPr>
        <w:rFonts w:ascii="Wingdings" w:hAnsi="Wingdings" w:hint="default"/>
      </w:rPr>
    </w:lvl>
  </w:abstractNum>
  <w:abstractNum w:abstractNumId="3">
    <w:nsid w:val="25637A0E"/>
    <w:multiLevelType w:val="hybridMultilevel"/>
    <w:tmpl w:val="35820934"/>
    <w:lvl w:ilvl="0" w:tplc="0C0A0011">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
    <w:nsid w:val="29C65BF7"/>
    <w:multiLevelType w:val="hybridMultilevel"/>
    <w:tmpl w:val="5042870E"/>
    <w:lvl w:ilvl="0" w:tplc="2D7E836C">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2ABE6CB9"/>
    <w:multiLevelType w:val="hybridMultilevel"/>
    <w:tmpl w:val="DA9C2AB8"/>
    <w:lvl w:ilvl="0" w:tplc="7BEC8D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AA3059"/>
    <w:multiLevelType w:val="hybridMultilevel"/>
    <w:tmpl w:val="1CA085F4"/>
    <w:lvl w:ilvl="0" w:tplc="419EA6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CF43DA"/>
    <w:multiLevelType w:val="hybridMultilevel"/>
    <w:tmpl w:val="B54251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6935F9"/>
    <w:multiLevelType w:val="hybridMultilevel"/>
    <w:tmpl w:val="59C2F18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96665488">
      <w:numFmt w:val="bullet"/>
      <w:lvlText w:val="•"/>
      <w:lvlJc w:val="left"/>
      <w:pPr>
        <w:ind w:left="2685" w:hanging="705"/>
      </w:pPr>
      <w:rPr>
        <w:rFonts w:ascii="Calibri" w:eastAsia="Times New Roman" w:hAnsi="Calibri"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FBB73EC"/>
    <w:multiLevelType w:val="hybridMultilevel"/>
    <w:tmpl w:val="79760C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5AC5C9A"/>
    <w:multiLevelType w:val="hybridMultilevel"/>
    <w:tmpl w:val="B246AA4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1">
    <w:nsid w:val="5F8F383F"/>
    <w:multiLevelType w:val="hybridMultilevel"/>
    <w:tmpl w:val="31C81D98"/>
    <w:lvl w:ilvl="0" w:tplc="419EA614">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9756DAA"/>
    <w:multiLevelType w:val="hybridMultilevel"/>
    <w:tmpl w:val="A404CF3C"/>
    <w:lvl w:ilvl="0" w:tplc="BCE42748">
      <w:start w:val="1"/>
      <w:numFmt w:val="upperRoman"/>
      <w:lvlText w:val="%1)"/>
      <w:lvlJc w:val="left"/>
      <w:pPr>
        <w:ind w:left="2496"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C9C7A54"/>
    <w:multiLevelType w:val="hybridMultilevel"/>
    <w:tmpl w:val="0F98ABF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6DC84DC6"/>
    <w:multiLevelType w:val="hybridMultilevel"/>
    <w:tmpl w:val="F4CA7A5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num w:numId="1">
    <w:abstractNumId w:val="3"/>
  </w:num>
  <w:num w:numId="2">
    <w:abstractNumId w:val="4"/>
  </w:num>
  <w:num w:numId="3">
    <w:abstractNumId w:val="1"/>
  </w:num>
  <w:num w:numId="4">
    <w:abstractNumId w:val="14"/>
  </w:num>
  <w:num w:numId="5">
    <w:abstractNumId w:val="12"/>
  </w:num>
  <w:num w:numId="6">
    <w:abstractNumId w:val="10"/>
  </w:num>
  <w:num w:numId="7">
    <w:abstractNumId w:val="6"/>
  </w:num>
  <w:num w:numId="8">
    <w:abstractNumId w:val="11"/>
  </w:num>
  <w:num w:numId="9">
    <w:abstractNumId w:val="0"/>
  </w:num>
  <w:num w:numId="10">
    <w:abstractNumId w:val="5"/>
  </w:num>
  <w:num w:numId="11">
    <w:abstractNumId w:val="2"/>
  </w:num>
  <w:num w:numId="12">
    <w:abstractNumId w:val="9"/>
  </w:num>
  <w:num w:numId="13">
    <w:abstractNumId w:val="7"/>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E5FBD"/>
    <w:rsid w:val="00000E6F"/>
    <w:rsid w:val="00001F8C"/>
    <w:rsid w:val="00002A34"/>
    <w:rsid w:val="00002BA1"/>
    <w:rsid w:val="0000426A"/>
    <w:rsid w:val="00012729"/>
    <w:rsid w:val="00014E07"/>
    <w:rsid w:val="00027FD0"/>
    <w:rsid w:val="000308B7"/>
    <w:rsid w:val="000342EB"/>
    <w:rsid w:val="000361F2"/>
    <w:rsid w:val="00040BC9"/>
    <w:rsid w:val="000440C4"/>
    <w:rsid w:val="0005134E"/>
    <w:rsid w:val="00052392"/>
    <w:rsid w:val="00052E76"/>
    <w:rsid w:val="00052EFC"/>
    <w:rsid w:val="00055C25"/>
    <w:rsid w:val="000570A5"/>
    <w:rsid w:val="00067527"/>
    <w:rsid w:val="000729FA"/>
    <w:rsid w:val="00075E72"/>
    <w:rsid w:val="0008120D"/>
    <w:rsid w:val="00081C0F"/>
    <w:rsid w:val="00081D99"/>
    <w:rsid w:val="00085743"/>
    <w:rsid w:val="00085AE3"/>
    <w:rsid w:val="0008652D"/>
    <w:rsid w:val="00091663"/>
    <w:rsid w:val="00092A71"/>
    <w:rsid w:val="00092DD4"/>
    <w:rsid w:val="000937D3"/>
    <w:rsid w:val="00097556"/>
    <w:rsid w:val="0009795B"/>
    <w:rsid w:val="00097D87"/>
    <w:rsid w:val="000A0427"/>
    <w:rsid w:val="000B16F2"/>
    <w:rsid w:val="000B5162"/>
    <w:rsid w:val="000B5358"/>
    <w:rsid w:val="000C08B8"/>
    <w:rsid w:val="000C3CCA"/>
    <w:rsid w:val="000C463E"/>
    <w:rsid w:val="000C71AF"/>
    <w:rsid w:val="000D1261"/>
    <w:rsid w:val="000D4296"/>
    <w:rsid w:val="000E103F"/>
    <w:rsid w:val="000E2AAB"/>
    <w:rsid w:val="000E67C6"/>
    <w:rsid w:val="000E6B01"/>
    <w:rsid w:val="000E6EDB"/>
    <w:rsid w:val="000E72CB"/>
    <w:rsid w:val="000F0776"/>
    <w:rsid w:val="000F6037"/>
    <w:rsid w:val="00102CEE"/>
    <w:rsid w:val="001037D4"/>
    <w:rsid w:val="00106E3F"/>
    <w:rsid w:val="0011026B"/>
    <w:rsid w:val="001120F1"/>
    <w:rsid w:val="00116EF6"/>
    <w:rsid w:val="00117647"/>
    <w:rsid w:val="00121962"/>
    <w:rsid w:val="001243BB"/>
    <w:rsid w:val="0012647B"/>
    <w:rsid w:val="00126897"/>
    <w:rsid w:val="0012759F"/>
    <w:rsid w:val="00130524"/>
    <w:rsid w:val="00134CA8"/>
    <w:rsid w:val="00136180"/>
    <w:rsid w:val="00136AA9"/>
    <w:rsid w:val="00137BA5"/>
    <w:rsid w:val="0014577D"/>
    <w:rsid w:val="001459A0"/>
    <w:rsid w:val="00145C28"/>
    <w:rsid w:val="00151C7F"/>
    <w:rsid w:val="001536FE"/>
    <w:rsid w:val="00153EB7"/>
    <w:rsid w:val="00153F40"/>
    <w:rsid w:val="001567CF"/>
    <w:rsid w:val="00161175"/>
    <w:rsid w:val="00164830"/>
    <w:rsid w:val="00166414"/>
    <w:rsid w:val="00171A5D"/>
    <w:rsid w:val="00174DD5"/>
    <w:rsid w:val="00180B44"/>
    <w:rsid w:val="00184345"/>
    <w:rsid w:val="00191A2E"/>
    <w:rsid w:val="001943A2"/>
    <w:rsid w:val="00194450"/>
    <w:rsid w:val="001A0705"/>
    <w:rsid w:val="001A0E11"/>
    <w:rsid w:val="001A3477"/>
    <w:rsid w:val="001A3D7A"/>
    <w:rsid w:val="001A48D4"/>
    <w:rsid w:val="001A5319"/>
    <w:rsid w:val="001A569C"/>
    <w:rsid w:val="001A5784"/>
    <w:rsid w:val="001A7562"/>
    <w:rsid w:val="001B2085"/>
    <w:rsid w:val="001B257A"/>
    <w:rsid w:val="001B6DEF"/>
    <w:rsid w:val="001C4BBD"/>
    <w:rsid w:val="001D1F58"/>
    <w:rsid w:val="001D4163"/>
    <w:rsid w:val="001D4C07"/>
    <w:rsid w:val="001D6B3B"/>
    <w:rsid w:val="001D7095"/>
    <w:rsid w:val="001E0A91"/>
    <w:rsid w:val="001E1F58"/>
    <w:rsid w:val="001F3289"/>
    <w:rsid w:val="001F5415"/>
    <w:rsid w:val="001F6BDB"/>
    <w:rsid w:val="00203ABA"/>
    <w:rsid w:val="00204DD7"/>
    <w:rsid w:val="00205619"/>
    <w:rsid w:val="00206848"/>
    <w:rsid w:val="002111B4"/>
    <w:rsid w:val="00212309"/>
    <w:rsid w:val="0021402C"/>
    <w:rsid w:val="00221056"/>
    <w:rsid w:val="00221533"/>
    <w:rsid w:val="00221AE8"/>
    <w:rsid w:val="00223DA2"/>
    <w:rsid w:val="00223F93"/>
    <w:rsid w:val="00223FFD"/>
    <w:rsid w:val="002316A0"/>
    <w:rsid w:val="002340DC"/>
    <w:rsid w:val="002414B7"/>
    <w:rsid w:val="002511B0"/>
    <w:rsid w:val="002527D7"/>
    <w:rsid w:val="00252CCB"/>
    <w:rsid w:val="00252D18"/>
    <w:rsid w:val="002559CC"/>
    <w:rsid w:val="002600ED"/>
    <w:rsid w:val="002620C6"/>
    <w:rsid w:val="002639EB"/>
    <w:rsid w:val="0026614B"/>
    <w:rsid w:val="002668CF"/>
    <w:rsid w:val="00271E1C"/>
    <w:rsid w:val="00272300"/>
    <w:rsid w:val="002727CA"/>
    <w:rsid w:val="002730FD"/>
    <w:rsid w:val="00276878"/>
    <w:rsid w:val="00276FAA"/>
    <w:rsid w:val="002813F0"/>
    <w:rsid w:val="00281D27"/>
    <w:rsid w:val="002826BA"/>
    <w:rsid w:val="0029015D"/>
    <w:rsid w:val="00291F97"/>
    <w:rsid w:val="00294F81"/>
    <w:rsid w:val="00296459"/>
    <w:rsid w:val="002A155F"/>
    <w:rsid w:val="002A32B2"/>
    <w:rsid w:val="002A3905"/>
    <w:rsid w:val="002A4AA9"/>
    <w:rsid w:val="002A6197"/>
    <w:rsid w:val="002A7155"/>
    <w:rsid w:val="002B4D7C"/>
    <w:rsid w:val="002B60B4"/>
    <w:rsid w:val="002C2875"/>
    <w:rsid w:val="002C556B"/>
    <w:rsid w:val="002C75B9"/>
    <w:rsid w:val="002D0371"/>
    <w:rsid w:val="002D0C17"/>
    <w:rsid w:val="002D3A18"/>
    <w:rsid w:val="002D4991"/>
    <w:rsid w:val="002D62E5"/>
    <w:rsid w:val="002D7C18"/>
    <w:rsid w:val="002E4B4D"/>
    <w:rsid w:val="002E6DBA"/>
    <w:rsid w:val="002F26E0"/>
    <w:rsid w:val="002F46AB"/>
    <w:rsid w:val="00300275"/>
    <w:rsid w:val="0030150E"/>
    <w:rsid w:val="003179D4"/>
    <w:rsid w:val="00317FFB"/>
    <w:rsid w:val="00322BFF"/>
    <w:rsid w:val="0032372C"/>
    <w:rsid w:val="003240B3"/>
    <w:rsid w:val="003257B2"/>
    <w:rsid w:val="00327037"/>
    <w:rsid w:val="00327716"/>
    <w:rsid w:val="00327AE5"/>
    <w:rsid w:val="00335245"/>
    <w:rsid w:val="0033700E"/>
    <w:rsid w:val="00337E93"/>
    <w:rsid w:val="00340290"/>
    <w:rsid w:val="003405FD"/>
    <w:rsid w:val="0034384F"/>
    <w:rsid w:val="00345392"/>
    <w:rsid w:val="00347206"/>
    <w:rsid w:val="0034788E"/>
    <w:rsid w:val="00354B8F"/>
    <w:rsid w:val="003733BA"/>
    <w:rsid w:val="00373A67"/>
    <w:rsid w:val="00376103"/>
    <w:rsid w:val="003800CA"/>
    <w:rsid w:val="00380D8C"/>
    <w:rsid w:val="003853F1"/>
    <w:rsid w:val="0039493A"/>
    <w:rsid w:val="00394C18"/>
    <w:rsid w:val="003A210F"/>
    <w:rsid w:val="003B3FAB"/>
    <w:rsid w:val="003B4B3D"/>
    <w:rsid w:val="003B7AFE"/>
    <w:rsid w:val="003C65ED"/>
    <w:rsid w:val="003E1D68"/>
    <w:rsid w:val="003E55E6"/>
    <w:rsid w:val="003E58DC"/>
    <w:rsid w:val="003F0F92"/>
    <w:rsid w:val="003F13EF"/>
    <w:rsid w:val="003F205A"/>
    <w:rsid w:val="003F473B"/>
    <w:rsid w:val="003F7288"/>
    <w:rsid w:val="00405DB7"/>
    <w:rsid w:val="0041046B"/>
    <w:rsid w:val="00413C89"/>
    <w:rsid w:val="0041510C"/>
    <w:rsid w:val="0041775D"/>
    <w:rsid w:val="004224E7"/>
    <w:rsid w:val="004225B8"/>
    <w:rsid w:val="0042394C"/>
    <w:rsid w:val="00423DCE"/>
    <w:rsid w:val="004250CA"/>
    <w:rsid w:val="004266DF"/>
    <w:rsid w:val="00426C8E"/>
    <w:rsid w:val="00426DDC"/>
    <w:rsid w:val="00427472"/>
    <w:rsid w:val="00430D27"/>
    <w:rsid w:val="00434B4F"/>
    <w:rsid w:val="00435069"/>
    <w:rsid w:val="00437E98"/>
    <w:rsid w:val="00450C06"/>
    <w:rsid w:val="00451D00"/>
    <w:rsid w:val="004556D4"/>
    <w:rsid w:val="00457DCC"/>
    <w:rsid w:val="0046022E"/>
    <w:rsid w:val="0046409F"/>
    <w:rsid w:val="00472019"/>
    <w:rsid w:val="0047272F"/>
    <w:rsid w:val="004745A8"/>
    <w:rsid w:val="00474BBD"/>
    <w:rsid w:val="0047562E"/>
    <w:rsid w:val="004770B3"/>
    <w:rsid w:val="00481679"/>
    <w:rsid w:val="00482822"/>
    <w:rsid w:val="004834CA"/>
    <w:rsid w:val="00483F0F"/>
    <w:rsid w:val="004840BE"/>
    <w:rsid w:val="00485380"/>
    <w:rsid w:val="0049017C"/>
    <w:rsid w:val="004904CA"/>
    <w:rsid w:val="00490752"/>
    <w:rsid w:val="0049189E"/>
    <w:rsid w:val="00495CC3"/>
    <w:rsid w:val="004A2E90"/>
    <w:rsid w:val="004A51C6"/>
    <w:rsid w:val="004A6C04"/>
    <w:rsid w:val="004B2409"/>
    <w:rsid w:val="004B3D92"/>
    <w:rsid w:val="004B415F"/>
    <w:rsid w:val="004B6DEB"/>
    <w:rsid w:val="004C0260"/>
    <w:rsid w:val="004C0A93"/>
    <w:rsid w:val="004C460F"/>
    <w:rsid w:val="004C5634"/>
    <w:rsid w:val="004D1210"/>
    <w:rsid w:val="004D6DCD"/>
    <w:rsid w:val="004F1070"/>
    <w:rsid w:val="004F2670"/>
    <w:rsid w:val="004F429D"/>
    <w:rsid w:val="004F47A4"/>
    <w:rsid w:val="004F74AC"/>
    <w:rsid w:val="00500EEB"/>
    <w:rsid w:val="00502EC6"/>
    <w:rsid w:val="005138D8"/>
    <w:rsid w:val="005141D3"/>
    <w:rsid w:val="005143EC"/>
    <w:rsid w:val="0051489F"/>
    <w:rsid w:val="00515C8B"/>
    <w:rsid w:val="005173F8"/>
    <w:rsid w:val="0052062E"/>
    <w:rsid w:val="005216F8"/>
    <w:rsid w:val="005224F0"/>
    <w:rsid w:val="0052520C"/>
    <w:rsid w:val="0052525D"/>
    <w:rsid w:val="0052646C"/>
    <w:rsid w:val="005302D4"/>
    <w:rsid w:val="005429A4"/>
    <w:rsid w:val="00544069"/>
    <w:rsid w:val="00546901"/>
    <w:rsid w:val="00553114"/>
    <w:rsid w:val="00553302"/>
    <w:rsid w:val="0055518F"/>
    <w:rsid w:val="00555939"/>
    <w:rsid w:val="0055635C"/>
    <w:rsid w:val="0055788E"/>
    <w:rsid w:val="00557BA3"/>
    <w:rsid w:val="00557F3A"/>
    <w:rsid w:val="00575645"/>
    <w:rsid w:val="005761BC"/>
    <w:rsid w:val="005771C5"/>
    <w:rsid w:val="00581067"/>
    <w:rsid w:val="005810A7"/>
    <w:rsid w:val="005820F9"/>
    <w:rsid w:val="00584AB4"/>
    <w:rsid w:val="005924A8"/>
    <w:rsid w:val="00595C13"/>
    <w:rsid w:val="00596A3B"/>
    <w:rsid w:val="005A128F"/>
    <w:rsid w:val="005A2876"/>
    <w:rsid w:val="005A394D"/>
    <w:rsid w:val="005A6DFE"/>
    <w:rsid w:val="005B305D"/>
    <w:rsid w:val="005B44CB"/>
    <w:rsid w:val="005C0966"/>
    <w:rsid w:val="005C1430"/>
    <w:rsid w:val="005C4877"/>
    <w:rsid w:val="005C6A2B"/>
    <w:rsid w:val="005C79CA"/>
    <w:rsid w:val="005D001F"/>
    <w:rsid w:val="005D03D3"/>
    <w:rsid w:val="005D1F6B"/>
    <w:rsid w:val="005D312A"/>
    <w:rsid w:val="005D3167"/>
    <w:rsid w:val="005D50D0"/>
    <w:rsid w:val="005D51AD"/>
    <w:rsid w:val="005D7238"/>
    <w:rsid w:val="005F0C6B"/>
    <w:rsid w:val="005F38D7"/>
    <w:rsid w:val="005F4ADA"/>
    <w:rsid w:val="005F66B1"/>
    <w:rsid w:val="005F7D2C"/>
    <w:rsid w:val="00601289"/>
    <w:rsid w:val="00606E9B"/>
    <w:rsid w:val="006136D3"/>
    <w:rsid w:val="00614F51"/>
    <w:rsid w:val="00617744"/>
    <w:rsid w:val="00617B2E"/>
    <w:rsid w:val="00617CAB"/>
    <w:rsid w:val="0062059D"/>
    <w:rsid w:val="00624A66"/>
    <w:rsid w:val="00624F33"/>
    <w:rsid w:val="006252AC"/>
    <w:rsid w:val="006268D4"/>
    <w:rsid w:val="006272DC"/>
    <w:rsid w:val="00631A96"/>
    <w:rsid w:val="00633D01"/>
    <w:rsid w:val="006345B5"/>
    <w:rsid w:val="00634BF4"/>
    <w:rsid w:val="00636F7F"/>
    <w:rsid w:val="00637EA5"/>
    <w:rsid w:val="00643A11"/>
    <w:rsid w:val="006471D2"/>
    <w:rsid w:val="00647E2C"/>
    <w:rsid w:val="00650338"/>
    <w:rsid w:val="00651483"/>
    <w:rsid w:val="006517E4"/>
    <w:rsid w:val="0065496C"/>
    <w:rsid w:val="006554AE"/>
    <w:rsid w:val="0065706C"/>
    <w:rsid w:val="006571BC"/>
    <w:rsid w:val="0066130B"/>
    <w:rsid w:val="00661F93"/>
    <w:rsid w:val="00664A74"/>
    <w:rsid w:val="00664EC3"/>
    <w:rsid w:val="006735AF"/>
    <w:rsid w:val="006740BE"/>
    <w:rsid w:val="00674118"/>
    <w:rsid w:val="006767F9"/>
    <w:rsid w:val="00677CED"/>
    <w:rsid w:val="006806A0"/>
    <w:rsid w:val="00684796"/>
    <w:rsid w:val="00685256"/>
    <w:rsid w:val="006940FC"/>
    <w:rsid w:val="006A478F"/>
    <w:rsid w:val="006A4D52"/>
    <w:rsid w:val="006A58F0"/>
    <w:rsid w:val="006A5B83"/>
    <w:rsid w:val="006B0102"/>
    <w:rsid w:val="006B1CFE"/>
    <w:rsid w:val="006B63F8"/>
    <w:rsid w:val="006B73CC"/>
    <w:rsid w:val="006C1183"/>
    <w:rsid w:val="006C1407"/>
    <w:rsid w:val="006C17D0"/>
    <w:rsid w:val="006C19A8"/>
    <w:rsid w:val="006C1EB2"/>
    <w:rsid w:val="006C2588"/>
    <w:rsid w:val="006C4170"/>
    <w:rsid w:val="006C52AF"/>
    <w:rsid w:val="006C637E"/>
    <w:rsid w:val="006C6E5E"/>
    <w:rsid w:val="006C7B7F"/>
    <w:rsid w:val="006C7C2D"/>
    <w:rsid w:val="006D22DD"/>
    <w:rsid w:val="006D4F0B"/>
    <w:rsid w:val="006D64FE"/>
    <w:rsid w:val="006D6B96"/>
    <w:rsid w:val="006D7C2F"/>
    <w:rsid w:val="006E1225"/>
    <w:rsid w:val="006E4B35"/>
    <w:rsid w:val="006E5F9F"/>
    <w:rsid w:val="006E6551"/>
    <w:rsid w:val="006E7ACB"/>
    <w:rsid w:val="006F4D62"/>
    <w:rsid w:val="00702613"/>
    <w:rsid w:val="00704A2E"/>
    <w:rsid w:val="00710259"/>
    <w:rsid w:val="007151FC"/>
    <w:rsid w:val="00720DF6"/>
    <w:rsid w:val="00727874"/>
    <w:rsid w:val="00727C92"/>
    <w:rsid w:val="007301EA"/>
    <w:rsid w:val="007411C0"/>
    <w:rsid w:val="007470E7"/>
    <w:rsid w:val="0074730B"/>
    <w:rsid w:val="0075106E"/>
    <w:rsid w:val="007513CA"/>
    <w:rsid w:val="0076055B"/>
    <w:rsid w:val="007622B4"/>
    <w:rsid w:val="007624CF"/>
    <w:rsid w:val="007653C4"/>
    <w:rsid w:val="0076678D"/>
    <w:rsid w:val="007676B0"/>
    <w:rsid w:val="0077132E"/>
    <w:rsid w:val="00774433"/>
    <w:rsid w:val="00776329"/>
    <w:rsid w:val="00776CD5"/>
    <w:rsid w:val="00776D0E"/>
    <w:rsid w:val="007843EC"/>
    <w:rsid w:val="00785564"/>
    <w:rsid w:val="00786D54"/>
    <w:rsid w:val="00790098"/>
    <w:rsid w:val="00792B75"/>
    <w:rsid w:val="00793011"/>
    <w:rsid w:val="007A0209"/>
    <w:rsid w:val="007B2E70"/>
    <w:rsid w:val="007B31DE"/>
    <w:rsid w:val="007B5F6D"/>
    <w:rsid w:val="007B73EF"/>
    <w:rsid w:val="007C356B"/>
    <w:rsid w:val="007C40C7"/>
    <w:rsid w:val="007C695B"/>
    <w:rsid w:val="007D17E9"/>
    <w:rsid w:val="007D1B47"/>
    <w:rsid w:val="007D1BB5"/>
    <w:rsid w:val="007D22AE"/>
    <w:rsid w:val="007D6740"/>
    <w:rsid w:val="007F4263"/>
    <w:rsid w:val="007F504D"/>
    <w:rsid w:val="007F7780"/>
    <w:rsid w:val="007F7F13"/>
    <w:rsid w:val="008029EF"/>
    <w:rsid w:val="00802C02"/>
    <w:rsid w:val="00802F79"/>
    <w:rsid w:val="008060D3"/>
    <w:rsid w:val="00806F2C"/>
    <w:rsid w:val="00806FE3"/>
    <w:rsid w:val="0081412A"/>
    <w:rsid w:val="00814D50"/>
    <w:rsid w:val="008155CA"/>
    <w:rsid w:val="00815C26"/>
    <w:rsid w:val="008164FA"/>
    <w:rsid w:val="00817EDD"/>
    <w:rsid w:val="00820510"/>
    <w:rsid w:val="00824201"/>
    <w:rsid w:val="00825E4A"/>
    <w:rsid w:val="00826686"/>
    <w:rsid w:val="00831522"/>
    <w:rsid w:val="008351F0"/>
    <w:rsid w:val="00836670"/>
    <w:rsid w:val="00837B09"/>
    <w:rsid w:val="00842E6D"/>
    <w:rsid w:val="00845ABE"/>
    <w:rsid w:val="008460F2"/>
    <w:rsid w:val="008522F1"/>
    <w:rsid w:val="00852FC8"/>
    <w:rsid w:val="00856002"/>
    <w:rsid w:val="00856DE5"/>
    <w:rsid w:val="008664D8"/>
    <w:rsid w:val="00867902"/>
    <w:rsid w:val="008713D6"/>
    <w:rsid w:val="00872426"/>
    <w:rsid w:val="00874054"/>
    <w:rsid w:val="0087570E"/>
    <w:rsid w:val="00875E2B"/>
    <w:rsid w:val="00880A83"/>
    <w:rsid w:val="00880C67"/>
    <w:rsid w:val="00891B68"/>
    <w:rsid w:val="008922AA"/>
    <w:rsid w:val="0089618F"/>
    <w:rsid w:val="008A2198"/>
    <w:rsid w:val="008A70D4"/>
    <w:rsid w:val="008A722C"/>
    <w:rsid w:val="008A74AA"/>
    <w:rsid w:val="008B0410"/>
    <w:rsid w:val="008B38F0"/>
    <w:rsid w:val="008C0F5C"/>
    <w:rsid w:val="008C1B07"/>
    <w:rsid w:val="008C21B0"/>
    <w:rsid w:val="008C3650"/>
    <w:rsid w:val="008C4703"/>
    <w:rsid w:val="008D077C"/>
    <w:rsid w:val="008D25E8"/>
    <w:rsid w:val="008D4C16"/>
    <w:rsid w:val="008D616C"/>
    <w:rsid w:val="008E1E58"/>
    <w:rsid w:val="008E3E7D"/>
    <w:rsid w:val="008E620D"/>
    <w:rsid w:val="008F12D6"/>
    <w:rsid w:val="008F1961"/>
    <w:rsid w:val="008F58A8"/>
    <w:rsid w:val="009007E5"/>
    <w:rsid w:val="009067F6"/>
    <w:rsid w:val="00912AD1"/>
    <w:rsid w:val="00913273"/>
    <w:rsid w:val="00913388"/>
    <w:rsid w:val="00914DC1"/>
    <w:rsid w:val="0092022D"/>
    <w:rsid w:val="009217F9"/>
    <w:rsid w:val="00922A45"/>
    <w:rsid w:val="0092372D"/>
    <w:rsid w:val="00924012"/>
    <w:rsid w:val="0092405C"/>
    <w:rsid w:val="009243D4"/>
    <w:rsid w:val="00927F30"/>
    <w:rsid w:val="009306C0"/>
    <w:rsid w:val="00933A88"/>
    <w:rsid w:val="0093650D"/>
    <w:rsid w:val="00947E4E"/>
    <w:rsid w:val="00953A63"/>
    <w:rsid w:val="00953B54"/>
    <w:rsid w:val="00954919"/>
    <w:rsid w:val="00956CD8"/>
    <w:rsid w:val="00960181"/>
    <w:rsid w:val="00960CBF"/>
    <w:rsid w:val="00961E73"/>
    <w:rsid w:val="00965C0D"/>
    <w:rsid w:val="00970313"/>
    <w:rsid w:val="009731B5"/>
    <w:rsid w:val="00973AC1"/>
    <w:rsid w:val="00981232"/>
    <w:rsid w:val="00983856"/>
    <w:rsid w:val="009840C1"/>
    <w:rsid w:val="00984BED"/>
    <w:rsid w:val="009927FF"/>
    <w:rsid w:val="0099343E"/>
    <w:rsid w:val="00997D76"/>
    <w:rsid w:val="009A0229"/>
    <w:rsid w:val="009A3637"/>
    <w:rsid w:val="009A47C2"/>
    <w:rsid w:val="009B1833"/>
    <w:rsid w:val="009B3CFD"/>
    <w:rsid w:val="009B7C68"/>
    <w:rsid w:val="009C1EE8"/>
    <w:rsid w:val="009C7C70"/>
    <w:rsid w:val="009D09C4"/>
    <w:rsid w:val="009D1FB9"/>
    <w:rsid w:val="009D3CB7"/>
    <w:rsid w:val="009E07EF"/>
    <w:rsid w:val="009E1A3A"/>
    <w:rsid w:val="009E1CC5"/>
    <w:rsid w:val="009E43EB"/>
    <w:rsid w:val="009E5535"/>
    <w:rsid w:val="009E609A"/>
    <w:rsid w:val="009F28B1"/>
    <w:rsid w:val="009F4B1D"/>
    <w:rsid w:val="009F4DE9"/>
    <w:rsid w:val="009F5092"/>
    <w:rsid w:val="009F5EA2"/>
    <w:rsid w:val="00A01646"/>
    <w:rsid w:val="00A01A01"/>
    <w:rsid w:val="00A02086"/>
    <w:rsid w:val="00A0317E"/>
    <w:rsid w:val="00A05FF9"/>
    <w:rsid w:val="00A070C3"/>
    <w:rsid w:val="00A11C1C"/>
    <w:rsid w:val="00A120B5"/>
    <w:rsid w:val="00A12153"/>
    <w:rsid w:val="00A13E38"/>
    <w:rsid w:val="00A24A98"/>
    <w:rsid w:val="00A3040D"/>
    <w:rsid w:val="00A3075D"/>
    <w:rsid w:val="00A3170F"/>
    <w:rsid w:val="00A34021"/>
    <w:rsid w:val="00A36CF9"/>
    <w:rsid w:val="00A423E9"/>
    <w:rsid w:val="00A42B13"/>
    <w:rsid w:val="00A467BF"/>
    <w:rsid w:val="00A46879"/>
    <w:rsid w:val="00A46A1D"/>
    <w:rsid w:val="00A472ED"/>
    <w:rsid w:val="00A47E70"/>
    <w:rsid w:val="00A51781"/>
    <w:rsid w:val="00A51829"/>
    <w:rsid w:val="00A51ABA"/>
    <w:rsid w:val="00A5257F"/>
    <w:rsid w:val="00A555E5"/>
    <w:rsid w:val="00A56CF7"/>
    <w:rsid w:val="00A64167"/>
    <w:rsid w:val="00A67719"/>
    <w:rsid w:val="00A72C8F"/>
    <w:rsid w:val="00A73910"/>
    <w:rsid w:val="00A73BA9"/>
    <w:rsid w:val="00A73D85"/>
    <w:rsid w:val="00A80A29"/>
    <w:rsid w:val="00A83D10"/>
    <w:rsid w:val="00A8750F"/>
    <w:rsid w:val="00A87D85"/>
    <w:rsid w:val="00A90294"/>
    <w:rsid w:val="00A9652E"/>
    <w:rsid w:val="00AA466B"/>
    <w:rsid w:val="00AA5250"/>
    <w:rsid w:val="00AB12F1"/>
    <w:rsid w:val="00AC4F59"/>
    <w:rsid w:val="00AD21F9"/>
    <w:rsid w:val="00AD51D4"/>
    <w:rsid w:val="00AD56FD"/>
    <w:rsid w:val="00AE1702"/>
    <w:rsid w:val="00AE31FD"/>
    <w:rsid w:val="00AE5378"/>
    <w:rsid w:val="00AF0454"/>
    <w:rsid w:val="00AF26A9"/>
    <w:rsid w:val="00AF4AC1"/>
    <w:rsid w:val="00AF6E86"/>
    <w:rsid w:val="00AF7A70"/>
    <w:rsid w:val="00B0075F"/>
    <w:rsid w:val="00B0191A"/>
    <w:rsid w:val="00B0494C"/>
    <w:rsid w:val="00B051F7"/>
    <w:rsid w:val="00B10AD4"/>
    <w:rsid w:val="00B12C1B"/>
    <w:rsid w:val="00B130A2"/>
    <w:rsid w:val="00B14EFB"/>
    <w:rsid w:val="00B15218"/>
    <w:rsid w:val="00B20205"/>
    <w:rsid w:val="00B31EC9"/>
    <w:rsid w:val="00B339FC"/>
    <w:rsid w:val="00B37A2E"/>
    <w:rsid w:val="00B41023"/>
    <w:rsid w:val="00B429C9"/>
    <w:rsid w:val="00B4301E"/>
    <w:rsid w:val="00B43B74"/>
    <w:rsid w:val="00B43EBD"/>
    <w:rsid w:val="00B441B2"/>
    <w:rsid w:val="00B457A4"/>
    <w:rsid w:val="00B509EB"/>
    <w:rsid w:val="00B520DF"/>
    <w:rsid w:val="00B56F69"/>
    <w:rsid w:val="00B6309F"/>
    <w:rsid w:val="00B64FE6"/>
    <w:rsid w:val="00B67973"/>
    <w:rsid w:val="00B67C0D"/>
    <w:rsid w:val="00B73B22"/>
    <w:rsid w:val="00B82D09"/>
    <w:rsid w:val="00B866A1"/>
    <w:rsid w:val="00B9196B"/>
    <w:rsid w:val="00B97F4C"/>
    <w:rsid w:val="00BA06D9"/>
    <w:rsid w:val="00BA2A87"/>
    <w:rsid w:val="00BA4B28"/>
    <w:rsid w:val="00BA7037"/>
    <w:rsid w:val="00BB2263"/>
    <w:rsid w:val="00BB44A8"/>
    <w:rsid w:val="00BB72AB"/>
    <w:rsid w:val="00BC0396"/>
    <w:rsid w:val="00BC45E5"/>
    <w:rsid w:val="00BC6B08"/>
    <w:rsid w:val="00BC6CDC"/>
    <w:rsid w:val="00BD7586"/>
    <w:rsid w:val="00BE0194"/>
    <w:rsid w:val="00BE065F"/>
    <w:rsid w:val="00BE0B0F"/>
    <w:rsid w:val="00BE1459"/>
    <w:rsid w:val="00BE2339"/>
    <w:rsid w:val="00BE339E"/>
    <w:rsid w:val="00BE4D81"/>
    <w:rsid w:val="00BF3B1E"/>
    <w:rsid w:val="00BF4C9A"/>
    <w:rsid w:val="00BF5B45"/>
    <w:rsid w:val="00C0194B"/>
    <w:rsid w:val="00C03398"/>
    <w:rsid w:val="00C05BA6"/>
    <w:rsid w:val="00C1393C"/>
    <w:rsid w:val="00C15020"/>
    <w:rsid w:val="00C16B8A"/>
    <w:rsid w:val="00C1757A"/>
    <w:rsid w:val="00C17EE7"/>
    <w:rsid w:val="00C27630"/>
    <w:rsid w:val="00C27C2C"/>
    <w:rsid w:val="00C33862"/>
    <w:rsid w:val="00C426C5"/>
    <w:rsid w:val="00C46FFB"/>
    <w:rsid w:val="00C503E8"/>
    <w:rsid w:val="00C5325A"/>
    <w:rsid w:val="00C548E1"/>
    <w:rsid w:val="00C55D90"/>
    <w:rsid w:val="00C5600A"/>
    <w:rsid w:val="00C575E6"/>
    <w:rsid w:val="00C613E0"/>
    <w:rsid w:val="00C647C8"/>
    <w:rsid w:val="00C652F3"/>
    <w:rsid w:val="00C737C4"/>
    <w:rsid w:val="00C74882"/>
    <w:rsid w:val="00C76295"/>
    <w:rsid w:val="00C82B55"/>
    <w:rsid w:val="00C86071"/>
    <w:rsid w:val="00C86CDF"/>
    <w:rsid w:val="00C87AB7"/>
    <w:rsid w:val="00C907DF"/>
    <w:rsid w:val="00C91398"/>
    <w:rsid w:val="00C922A4"/>
    <w:rsid w:val="00C92BB8"/>
    <w:rsid w:val="00C952A6"/>
    <w:rsid w:val="00C97B81"/>
    <w:rsid w:val="00CA5157"/>
    <w:rsid w:val="00CB5FEE"/>
    <w:rsid w:val="00CC033D"/>
    <w:rsid w:val="00CC1648"/>
    <w:rsid w:val="00CC3F7A"/>
    <w:rsid w:val="00CC48D7"/>
    <w:rsid w:val="00CD3D1F"/>
    <w:rsid w:val="00CE0A1D"/>
    <w:rsid w:val="00CE0FCB"/>
    <w:rsid w:val="00CE2DF6"/>
    <w:rsid w:val="00CE3C75"/>
    <w:rsid w:val="00CE6249"/>
    <w:rsid w:val="00CE78A4"/>
    <w:rsid w:val="00CF348A"/>
    <w:rsid w:val="00CF397F"/>
    <w:rsid w:val="00CF5482"/>
    <w:rsid w:val="00D031D0"/>
    <w:rsid w:val="00D0326A"/>
    <w:rsid w:val="00D03A00"/>
    <w:rsid w:val="00D0587F"/>
    <w:rsid w:val="00D12EC0"/>
    <w:rsid w:val="00D15166"/>
    <w:rsid w:val="00D21A09"/>
    <w:rsid w:val="00D238AD"/>
    <w:rsid w:val="00D241EE"/>
    <w:rsid w:val="00D2683B"/>
    <w:rsid w:val="00D326EF"/>
    <w:rsid w:val="00D3271E"/>
    <w:rsid w:val="00D3493E"/>
    <w:rsid w:val="00D3558B"/>
    <w:rsid w:val="00D4704D"/>
    <w:rsid w:val="00D50595"/>
    <w:rsid w:val="00D56AC5"/>
    <w:rsid w:val="00D56D0A"/>
    <w:rsid w:val="00D608CC"/>
    <w:rsid w:val="00D61237"/>
    <w:rsid w:val="00D63B83"/>
    <w:rsid w:val="00D669AD"/>
    <w:rsid w:val="00D66B77"/>
    <w:rsid w:val="00D66F90"/>
    <w:rsid w:val="00D70433"/>
    <w:rsid w:val="00D708C7"/>
    <w:rsid w:val="00D70FD5"/>
    <w:rsid w:val="00D71EF8"/>
    <w:rsid w:val="00D725C5"/>
    <w:rsid w:val="00D73226"/>
    <w:rsid w:val="00D73943"/>
    <w:rsid w:val="00D77F17"/>
    <w:rsid w:val="00D8045B"/>
    <w:rsid w:val="00D8194E"/>
    <w:rsid w:val="00D81D6C"/>
    <w:rsid w:val="00D8322B"/>
    <w:rsid w:val="00D84DAA"/>
    <w:rsid w:val="00D85265"/>
    <w:rsid w:val="00D87EC2"/>
    <w:rsid w:val="00D92B71"/>
    <w:rsid w:val="00DA0662"/>
    <w:rsid w:val="00DA13FA"/>
    <w:rsid w:val="00DA1A79"/>
    <w:rsid w:val="00DA4CC1"/>
    <w:rsid w:val="00DA5557"/>
    <w:rsid w:val="00DB062B"/>
    <w:rsid w:val="00DB0C6C"/>
    <w:rsid w:val="00DB14C1"/>
    <w:rsid w:val="00DB1540"/>
    <w:rsid w:val="00DB21BA"/>
    <w:rsid w:val="00DB6D55"/>
    <w:rsid w:val="00DB6F53"/>
    <w:rsid w:val="00DD1D14"/>
    <w:rsid w:val="00DE3F78"/>
    <w:rsid w:val="00DE4008"/>
    <w:rsid w:val="00DE5E72"/>
    <w:rsid w:val="00DF167C"/>
    <w:rsid w:val="00E0092D"/>
    <w:rsid w:val="00E0229B"/>
    <w:rsid w:val="00E15C3F"/>
    <w:rsid w:val="00E213B7"/>
    <w:rsid w:val="00E21687"/>
    <w:rsid w:val="00E344F8"/>
    <w:rsid w:val="00E3764D"/>
    <w:rsid w:val="00E42FF4"/>
    <w:rsid w:val="00E5028B"/>
    <w:rsid w:val="00E555CE"/>
    <w:rsid w:val="00E57B97"/>
    <w:rsid w:val="00E615B1"/>
    <w:rsid w:val="00E61857"/>
    <w:rsid w:val="00E62984"/>
    <w:rsid w:val="00E63ED7"/>
    <w:rsid w:val="00E64062"/>
    <w:rsid w:val="00E64B69"/>
    <w:rsid w:val="00E70F62"/>
    <w:rsid w:val="00E72CE0"/>
    <w:rsid w:val="00E7323E"/>
    <w:rsid w:val="00E752FC"/>
    <w:rsid w:val="00E84E6E"/>
    <w:rsid w:val="00E86E08"/>
    <w:rsid w:val="00E87531"/>
    <w:rsid w:val="00E87B31"/>
    <w:rsid w:val="00E9090F"/>
    <w:rsid w:val="00E90982"/>
    <w:rsid w:val="00E9178D"/>
    <w:rsid w:val="00E94A4D"/>
    <w:rsid w:val="00E95F21"/>
    <w:rsid w:val="00E96D95"/>
    <w:rsid w:val="00E97BEE"/>
    <w:rsid w:val="00EA09AE"/>
    <w:rsid w:val="00EA5513"/>
    <w:rsid w:val="00EB4BEC"/>
    <w:rsid w:val="00EC3D6D"/>
    <w:rsid w:val="00EC5A69"/>
    <w:rsid w:val="00EC5A78"/>
    <w:rsid w:val="00EC5E3C"/>
    <w:rsid w:val="00EC6FB6"/>
    <w:rsid w:val="00ED0F7D"/>
    <w:rsid w:val="00ED752C"/>
    <w:rsid w:val="00EE177E"/>
    <w:rsid w:val="00EE38B9"/>
    <w:rsid w:val="00EE5073"/>
    <w:rsid w:val="00EE6A53"/>
    <w:rsid w:val="00EE6AD6"/>
    <w:rsid w:val="00EF0BF6"/>
    <w:rsid w:val="00EF3157"/>
    <w:rsid w:val="00EF3DC5"/>
    <w:rsid w:val="00EF6781"/>
    <w:rsid w:val="00EF7DF6"/>
    <w:rsid w:val="00F00AFC"/>
    <w:rsid w:val="00F03545"/>
    <w:rsid w:val="00F12586"/>
    <w:rsid w:val="00F12A83"/>
    <w:rsid w:val="00F170F3"/>
    <w:rsid w:val="00F22B0E"/>
    <w:rsid w:val="00F22B59"/>
    <w:rsid w:val="00F23407"/>
    <w:rsid w:val="00F2699A"/>
    <w:rsid w:val="00F26D7D"/>
    <w:rsid w:val="00F37B6E"/>
    <w:rsid w:val="00F40BFA"/>
    <w:rsid w:val="00F41819"/>
    <w:rsid w:val="00F43406"/>
    <w:rsid w:val="00F50FE6"/>
    <w:rsid w:val="00F5124D"/>
    <w:rsid w:val="00F51654"/>
    <w:rsid w:val="00F560DE"/>
    <w:rsid w:val="00F56E81"/>
    <w:rsid w:val="00F6408B"/>
    <w:rsid w:val="00F6422F"/>
    <w:rsid w:val="00F70186"/>
    <w:rsid w:val="00F74C87"/>
    <w:rsid w:val="00F76103"/>
    <w:rsid w:val="00F76891"/>
    <w:rsid w:val="00F77456"/>
    <w:rsid w:val="00F82233"/>
    <w:rsid w:val="00F834BC"/>
    <w:rsid w:val="00FA25E0"/>
    <w:rsid w:val="00FA54E1"/>
    <w:rsid w:val="00FB00EB"/>
    <w:rsid w:val="00FB13B0"/>
    <w:rsid w:val="00FB1E53"/>
    <w:rsid w:val="00FB2DA2"/>
    <w:rsid w:val="00FB4FAB"/>
    <w:rsid w:val="00FB5884"/>
    <w:rsid w:val="00FC090F"/>
    <w:rsid w:val="00FC1628"/>
    <w:rsid w:val="00FC1AD0"/>
    <w:rsid w:val="00FC1AE5"/>
    <w:rsid w:val="00FC2048"/>
    <w:rsid w:val="00FC263C"/>
    <w:rsid w:val="00FC471A"/>
    <w:rsid w:val="00FC5110"/>
    <w:rsid w:val="00FC6920"/>
    <w:rsid w:val="00FC7705"/>
    <w:rsid w:val="00FD263A"/>
    <w:rsid w:val="00FD2C3A"/>
    <w:rsid w:val="00FD4ED2"/>
    <w:rsid w:val="00FD70DD"/>
    <w:rsid w:val="00FD7190"/>
    <w:rsid w:val="00FD7FA0"/>
    <w:rsid w:val="00FE227B"/>
    <w:rsid w:val="00FE4457"/>
    <w:rsid w:val="00FE5E47"/>
    <w:rsid w:val="00FE5FBD"/>
    <w:rsid w:val="00FF2812"/>
    <w:rsid w:val="00FF4935"/>
    <w:rsid w:val="00FF7DD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5FBD"/>
    <w:pPr>
      <w:tabs>
        <w:tab w:val="center" w:pos="4419"/>
        <w:tab w:val="right" w:pos="8838"/>
      </w:tabs>
    </w:pPr>
  </w:style>
  <w:style w:type="character" w:customStyle="1" w:styleId="EncabezadoCar">
    <w:name w:val="Encabezado Car"/>
    <w:basedOn w:val="Fuentedeprrafopredeter"/>
    <w:link w:val="Encabezado"/>
    <w:uiPriority w:val="99"/>
    <w:rsid w:val="00FE5FB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E5FBD"/>
    <w:pPr>
      <w:tabs>
        <w:tab w:val="center" w:pos="4419"/>
        <w:tab w:val="right" w:pos="8838"/>
      </w:tabs>
    </w:pPr>
  </w:style>
  <w:style w:type="character" w:customStyle="1" w:styleId="PiedepginaCar">
    <w:name w:val="Pie de página Car"/>
    <w:basedOn w:val="Fuentedeprrafopredeter"/>
    <w:link w:val="Piedepgina"/>
    <w:uiPriority w:val="99"/>
    <w:rsid w:val="00FE5FB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F7780"/>
    <w:pPr>
      <w:ind w:left="720"/>
      <w:contextualSpacing/>
    </w:pPr>
  </w:style>
  <w:style w:type="paragraph" w:styleId="Textodeglobo">
    <w:name w:val="Balloon Text"/>
    <w:basedOn w:val="Normal"/>
    <w:link w:val="TextodegloboCar"/>
    <w:uiPriority w:val="99"/>
    <w:semiHidden/>
    <w:unhideWhenUsed/>
    <w:rsid w:val="00D56D0A"/>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D0A"/>
    <w:rPr>
      <w:rFonts w:ascii="Tahoma" w:eastAsia="Times New Roman" w:hAnsi="Tahoma" w:cs="Tahoma"/>
      <w:sz w:val="16"/>
      <w:szCs w:val="16"/>
      <w:lang w:val="es-ES" w:eastAsia="es-ES"/>
    </w:rPr>
  </w:style>
  <w:style w:type="character" w:customStyle="1" w:styleId="TextoCar">
    <w:name w:val="Texto Car"/>
    <w:basedOn w:val="Fuentedeprrafopredeter"/>
    <w:link w:val="Texto"/>
    <w:locked/>
    <w:rsid w:val="000A0427"/>
    <w:rPr>
      <w:rFonts w:ascii="Arial" w:hAnsi="Arial" w:cs="Arial"/>
    </w:rPr>
  </w:style>
  <w:style w:type="paragraph" w:customStyle="1" w:styleId="Texto">
    <w:name w:val="Texto"/>
    <w:basedOn w:val="Normal"/>
    <w:link w:val="TextoCar"/>
    <w:rsid w:val="000A0427"/>
    <w:pPr>
      <w:spacing w:after="101" w:line="216" w:lineRule="exact"/>
      <w:ind w:firstLine="288"/>
      <w:jc w:val="both"/>
    </w:pPr>
    <w:rPr>
      <w:rFonts w:ascii="Arial" w:eastAsiaTheme="minorHAnsi" w:hAnsi="Arial" w:cs="Arial"/>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5FBD"/>
    <w:pPr>
      <w:tabs>
        <w:tab w:val="center" w:pos="4419"/>
        <w:tab w:val="right" w:pos="8838"/>
      </w:tabs>
    </w:pPr>
  </w:style>
  <w:style w:type="character" w:customStyle="1" w:styleId="EncabezadoCar">
    <w:name w:val="Encabezado Car"/>
    <w:basedOn w:val="Fuentedeprrafopredeter"/>
    <w:link w:val="Encabezado"/>
    <w:uiPriority w:val="99"/>
    <w:rsid w:val="00FE5FB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E5FBD"/>
    <w:pPr>
      <w:tabs>
        <w:tab w:val="center" w:pos="4419"/>
        <w:tab w:val="right" w:pos="8838"/>
      </w:tabs>
    </w:pPr>
  </w:style>
  <w:style w:type="character" w:customStyle="1" w:styleId="PiedepginaCar">
    <w:name w:val="Pie de página Car"/>
    <w:basedOn w:val="Fuentedeprrafopredeter"/>
    <w:link w:val="Piedepgina"/>
    <w:uiPriority w:val="99"/>
    <w:rsid w:val="00FE5FB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F7780"/>
    <w:pPr>
      <w:ind w:left="720"/>
      <w:contextualSpacing/>
    </w:pPr>
  </w:style>
  <w:style w:type="paragraph" w:styleId="Textodeglobo">
    <w:name w:val="Balloon Text"/>
    <w:basedOn w:val="Normal"/>
    <w:link w:val="TextodegloboCar"/>
    <w:uiPriority w:val="99"/>
    <w:semiHidden/>
    <w:unhideWhenUsed/>
    <w:rsid w:val="00D56D0A"/>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D0A"/>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8262540">
      <w:bodyDiv w:val="1"/>
      <w:marLeft w:val="0"/>
      <w:marRight w:val="0"/>
      <w:marTop w:val="0"/>
      <w:marBottom w:val="0"/>
      <w:divBdr>
        <w:top w:val="none" w:sz="0" w:space="0" w:color="auto"/>
        <w:left w:val="none" w:sz="0" w:space="0" w:color="auto"/>
        <w:bottom w:val="none" w:sz="0" w:space="0" w:color="auto"/>
        <w:right w:val="none" w:sz="0" w:space="0" w:color="auto"/>
      </w:divBdr>
    </w:div>
    <w:div w:id="11927723">
      <w:bodyDiv w:val="1"/>
      <w:marLeft w:val="0"/>
      <w:marRight w:val="0"/>
      <w:marTop w:val="0"/>
      <w:marBottom w:val="0"/>
      <w:divBdr>
        <w:top w:val="none" w:sz="0" w:space="0" w:color="auto"/>
        <w:left w:val="none" w:sz="0" w:space="0" w:color="auto"/>
        <w:bottom w:val="none" w:sz="0" w:space="0" w:color="auto"/>
        <w:right w:val="none" w:sz="0" w:space="0" w:color="auto"/>
      </w:divBdr>
    </w:div>
    <w:div w:id="12806869">
      <w:bodyDiv w:val="1"/>
      <w:marLeft w:val="0"/>
      <w:marRight w:val="0"/>
      <w:marTop w:val="0"/>
      <w:marBottom w:val="0"/>
      <w:divBdr>
        <w:top w:val="none" w:sz="0" w:space="0" w:color="auto"/>
        <w:left w:val="none" w:sz="0" w:space="0" w:color="auto"/>
        <w:bottom w:val="none" w:sz="0" w:space="0" w:color="auto"/>
        <w:right w:val="none" w:sz="0" w:space="0" w:color="auto"/>
      </w:divBdr>
    </w:div>
    <w:div w:id="22022188">
      <w:bodyDiv w:val="1"/>
      <w:marLeft w:val="0"/>
      <w:marRight w:val="0"/>
      <w:marTop w:val="0"/>
      <w:marBottom w:val="0"/>
      <w:divBdr>
        <w:top w:val="none" w:sz="0" w:space="0" w:color="auto"/>
        <w:left w:val="none" w:sz="0" w:space="0" w:color="auto"/>
        <w:bottom w:val="none" w:sz="0" w:space="0" w:color="auto"/>
        <w:right w:val="none" w:sz="0" w:space="0" w:color="auto"/>
      </w:divBdr>
    </w:div>
    <w:div w:id="23944990">
      <w:bodyDiv w:val="1"/>
      <w:marLeft w:val="0"/>
      <w:marRight w:val="0"/>
      <w:marTop w:val="0"/>
      <w:marBottom w:val="0"/>
      <w:divBdr>
        <w:top w:val="none" w:sz="0" w:space="0" w:color="auto"/>
        <w:left w:val="none" w:sz="0" w:space="0" w:color="auto"/>
        <w:bottom w:val="none" w:sz="0" w:space="0" w:color="auto"/>
        <w:right w:val="none" w:sz="0" w:space="0" w:color="auto"/>
      </w:divBdr>
    </w:div>
    <w:div w:id="29689477">
      <w:bodyDiv w:val="1"/>
      <w:marLeft w:val="0"/>
      <w:marRight w:val="0"/>
      <w:marTop w:val="0"/>
      <w:marBottom w:val="0"/>
      <w:divBdr>
        <w:top w:val="none" w:sz="0" w:space="0" w:color="auto"/>
        <w:left w:val="none" w:sz="0" w:space="0" w:color="auto"/>
        <w:bottom w:val="none" w:sz="0" w:space="0" w:color="auto"/>
        <w:right w:val="none" w:sz="0" w:space="0" w:color="auto"/>
      </w:divBdr>
    </w:div>
    <w:div w:id="32585987">
      <w:bodyDiv w:val="1"/>
      <w:marLeft w:val="0"/>
      <w:marRight w:val="0"/>
      <w:marTop w:val="0"/>
      <w:marBottom w:val="0"/>
      <w:divBdr>
        <w:top w:val="none" w:sz="0" w:space="0" w:color="auto"/>
        <w:left w:val="none" w:sz="0" w:space="0" w:color="auto"/>
        <w:bottom w:val="none" w:sz="0" w:space="0" w:color="auto"/>
        <w:right w:val="none" w:sz="0" w:space="0" w:color="auto"/>
      </w:divBdr>
    </w:div>
    <w:div w:id="34015281">
      <w:bodyDiv w:val="1"/>
      <w:marLeft w:val="0"/>
      <w:marRight w:val="0"/>
      <w:marTop w:val="0"/>
      <w:marBottom w:val="0"/>
      <w:divBdr>
        <w:top w:val="none" w:sz="0" w:space="0" w:color="auto"/>
        <w:left w:val="none" w:sz="0" w:space="0" w:color="auto"/>
        <w:bottom w:val="none" w:sz="0" w:space="0" w:color="auto"/>
        <w:right w:val="none" w:sz="0" w:space="0" w:color="auto"/>
      </w:divBdr>
    </w:div>
    <w:div w:id="35665730">
      <w:bodyDiv w:val="1"/>
      <w:marLeft w:val="0"/>
      <w:marRight w:val="0"/>
      <w:marTop w:val="0"/>
      <w:marBottom w:val="0"/>
      <w:divBdr>
        <w:top w:val="none" w:sz="0" w:space="0" w:color="auto"/>
        <w:left w:val="none" w:sz="0" w:space="0" w:color="auto"/>
        <w:bottom w:val="none" w:sz="0" w:space="0" w:color="auto"/>
        <w:right w:val="none" w:sz="0" w:space="0" w:color="auto"/>
      </w:divBdr>
    </w:div>
    <w:div w:id="36053108">
      <w:bodyDiv w:val="1"/>
      <w:marLeft w:val="0"/>
      <w:marRight w:val="0"/>
      <w:marTop w:val="0"/>
      <w:marBottom w:val="0"/>
      <w:divBdr>
        <w:top w:val="none" w:sz="0" w:space="0" w:color="auto"/>
        <w:left w:val="none" w:sz="0" w:space="0" w:color="auto"/>
        <w:bottom w:val="none" w:sz="0" w:space="0" w:color="auto"/>
        <w:right w:val="none" w:sz="0" w:space="0" w:color="auto"/>
      </w:divBdr>
    </w:div>
    <w:div w:id="54401320">
      <w:bodyDiv w:val="1"/>
      <w:marLeft w:val="0"/>
      <w:marRight w:val="0"/>
      <w:marTop w:val="0"/>
      <w:marBottom w:val="0"/>
      <w:divBdr>
        <w:top w:val="none" w:sz="0" w:space="0" w:color="auto"/>
        <w:left w:val="none" w:sz="0" w:space="0" w:color="auto"/>
        <w:bottom w:val="none" w:sz="0" w:space="0" w:color="auto"/>
        <w:right w:val="none" w:sz="0" w:space="0" w:color="auto"/>
      </w:divBdr>
    </w:div>
    <w:div w:id="55711400">
      <w:bodyDiv w:val="1"/>
      <w:marLeft w:val="0"/>
      <w:marRight w:val="0"/>
      <w:marTop w:val="0"/>
      <w:marBottom w:val="0"/>
      <w:divBdr>
        <w:top w:val="none" w:sz="0" w:space="0" w:color="auto"/>
        <w:left w:val="none" w:sz="0" w:space="0" w:color="auto"/>
        <w:bottom w:val="none" w:sz="0" w:space="0" w:color="auto"/>
        <w:right w:val="none" w:sz="0" w:space="0" w:color="auto"/>
      </w:divBdr>
    </w:div>
    <w:div w:id="59716251">
      <w:bodyDiv w:val="1"/>
      <w:marLeft w:val="0"/>
      <w:marRight w:val="0"/>
      <w:marTop w:val="0"/>
      <w:marBottom w:val="0"/>
      <w:divBdr>
        <w:top w:val="none" w:sz="0" w:space="0" w:color="auto"/>
        <w:left w:val="none" w:sz="0" w:space="0" w:color="auto"/>
        <w:bottom w:val="none" w:sz="0" w:space="0" w:color="auto"/>
        <w:right w:val="none" w:sz="0" w:space="0" w:color="auto"/>
      </w:divBdr>
    </w:div>
    <w:div w:id="65877930">
      <w:bodyDiv w:val="1"/>
      <w:marLeft w:val="0"/>
      <w:marRight w:val="0"/>
      <w:marTop w:val="0"/>
      <w:marBottom w:val="0"/>
      <w:divBdr>
        <w:top w:val="none" w:sz="0" w:space="0" w:color="auto"/>
        <w:left w:val="none" w:sz="0" w:space="0" w:color="auto"/>
        <w:bottom w:val="none" w:sz="0" w:space="0" w:color="auto"/>
        <w:right w:val="none" w:sz="0" w:space="0" w:color="auto"/>
      </w:divBdr>
    </w:div>
    <w:div w:id="68383468">
      <w:bodyDiv w:val="1"/>
      <w:marLeft w:val="0"/>
      <w:marRight w:val="0"/>
      <w:marTop w:val="0"/>
      <w:marBottom w:val="0"/>
      <w:divBdr>
        <w:top w:val="none" w:sz="0" w:space="0" w:color="auto"/>
        <w:left w:val="none" w:sz="0" w:space="0" w:color="auto"/>
        <w:bottom w:val="none" w:sz="0" w:space="0" w:color="auto"/>
        <w:right w:val="none" w:sz="0" w:space="0" w:color="auto"/>
      </w:divBdr>
    </w:div>
    <w:div w:id="91558469">
      <w:bodyDiv w:val="1"/>
      <w:marLeft w:val="0"/>
      <w:marRight w:val="0"/>
      <w:marTop w:val="0"/>
      <w:marBottom w:val="0"/>
      <w:divBdr>
        <w:top w:val="none" w:sz="0" w:space="0" w:color="auto"/>
        <w:left w:val="none" w:sz="0" w:space="0" w:color="auto"/>
        <w:bottom w:val="none" w:sz="0" w:space="0" w:color="auto"/>
        <w:right w:val="none" w:sz="0" w:space="0" w:color="auto"/>
      </w:divBdr>
    </w:div>
    <w:div w:id="93478530">
      <w:bodyDiv w:val="1"/>
      <w:marLeft w:val="0"/>
      <w:marRight w:val="0"/>
      <w:marTop w:val="0"/>
      <w:marBottom w:val="0"/>
      <w:divBdr>
        <w:top w:val="none" w:sz="0" w:space="0" w:color="auto"/>
        <w:left w:val="none" w:sz="0" w:space="0" w:color="auto"/>
        <w:bottom w:val="none" w:sz="0" w:space="0" w:color="auto"/>
        <w:right w:val="none" w:sz="0" w:space="0" w:color="auto"/>
      </w:divBdr>
    </w:div>
    <w:div w:id="103884244">
      <w:bodyDiv w:val="1"/>
      <w:marLeft w:val="0"/>
      <w:marRight w:val="0"/>
      <w:marTop w:val="0"/>
      <w:marBottom w:val="0"/>
      <w:divBdr>
        <w:top w:val="none" w:sz="0" w:space="0" w:color="auto"/>
        <w:left w:val="none" w:sz="0" w:space="0" w:color="auto"/>
        <w:bottom w:val="none" w:sz="0" w:space="0" w:color="auto"/>
        <w:right w:val="none" w:sz="0" w:space="0" w:color="auto"/>
      </w:divBdr>
    </w:div>
    <w:div w:id="111750993">
      <w:bodyDiv w:val="1"/>
      <w:marLeft w:val="0"/>
      <w:marRight w:val="0"/>
      <w:marTop w:val="0"/>
      <w:marBottom w:val="0"/>
      <w:divBdr>
        <w:top w:val="none" w:sz="0" w:space="0" w:color="auto"/>
        <w:left w:val="none" w:sz="0" w:space="0" w:color="auto"/>
        <w:bottom w:val="none" w:sz="0" w:space="0" w:color="auto"/>
        <w:right w:val="none" w:sz="0" w:space="0" w:color="auto"/>
      </w:divBdr>
    </w:div>
    <w:div w:id="113641248">
      <w:bodyDiv w:val="1"/>
      <w:marLeft w:val="0"/>
      <w:marRight w:val="0"/>
      <w:marTop w:val="0"/>
      <w:marBottom w:val="0"/>
      <w:divBdr>
        <w:top w:val="none" w:sz="0" w:space="0" w:color="auto"/>
        <w:left w:val="none" w:sz="0" w:space="0" w:color="auto"/>
        <w:bottom w:val="none" w:sz="0" w:space="0" w:color="auto"/>
        <w:right w:val="none" w:sz="0" w:space="0" w:color="auto"/>
      </w:divBdr>
    </w:div>
    <w:div w:id="116291372">
      <w:bodyDiv w:val="1"/>
      <w:marLeft w:val="0"/>
      <w:marRight w:val="0"/>
      <w:marTop w:val="0"/>
      <w:marBottom w:val="0"/>
      <w:divBdr>
        <w:top w:val="none" w:sz="0" w:space="0" w:color="auto"/>
        <w:left w:val="none" w:sz="0" w:space="0" w:color="auto"/>
        <w:bottom w:val="none" w:sz="0" w:space="0" w:color="auto"/>
        <w:right w:val="none" w:sz="0" w:space="0" w:color="auto"/>
      </w:divBdr>
    </w:div>
    <w:div w:id="124323127">
      <w:bodyDiv w:val="1"/>
      <w:marLeft w:val="0"/>
      <w:marRight w:val="0"/>
      <w:marTop w:val="0"/>
      <w:marBottom w:val="0"/>
      <w:divBdr>
        <w:top w:val="none" w:sz="0" w:space="0" w:color="auto"/>
        <w:left w:val="none" w:sz="0" w:space="0" w:color="auto"/>
        <w:bottom w:val="none" w:sz="0" w:space="0" w:color="auto"/>
        <w:right w:val="none" w:sz="0" w:space="0" w:color="auto"/>
      </w:divBdr>
    </w:div>
    <w:div w:id="134224845">
      <w:bodyDiv w:val="1"/>
      <w:marLeft w:val="0"/>
      <w:marRight w:val="0"/>
      <w:marTop w:val="0"/>
      <w:marBottom w:val="0"/>
      <w:divBdr>
        <w:top w:val="none" w:sz="0" w:space="0" w:color="auto"/>
        <w:left w:val="none" w:sz="0" w:space="0" w:color="auto"/>
        <w:bottom w:val="none" w:sz="0" w:space="0" w:color="auto"/>
        <w:right w:val="none" w:sz="0" w:space="0" w:color="auto"/>
      </w:divBdr>
    </w:div>
    <w:div w:id="134612116">
      <w:bodyDiv w:val="1"/>
      <w:marLeft w:val="0"/>
      <w:marRight w:val="0"/>
      <w:marTop w:val="0"/>
      <w:marBottom w:val="0"/>
      <w:divBdr>
        <w:top w:val="none" w:sz="0" w:space="0" w:color="auto"/>
        <w:left w:val="none" w:sz="0" w:space="0" w:color="auto"/>
        <w:bottom w:val="none" w:sz="0" w:space="0" w:color="auto"/>
        <w:right w:val="none" w:sz="0" w:space="0" w:color="auto"/>
      </w:divBdr>
    </w:div>
    <w:div w:id="139925853">
      <w:bodyDiv w:val="1"/>
      <w:marLeft w:val="0"/>
      <w:marRight w:val="0"/>
      <w:marTop w:val="0"/>
      <w:marBottom w:val="0"/>
      <w:divBdr>
        <w:top w:val="none" w:sz="0" w:space="0" w:color="auto"/>
        <w:left w:val="none" w:sz="0" w:space="0" w:color="auto"/>
        <w:bottom w:val="none" w:sz="0" w:space="0" w:color="auto"/>
        <w:right w:val="none" w:sz="0" w:space="0" w:color="auto"/>
      </w:divBdr>
    </w:div>
    <w:div w:id="144398886">
      <w:bodyDiv w:val="1"/>
      <w:marLeft w:val="0"/>
      <w:marRight w:val="0"/>
      <w:marTop w:val="0"/>
      <w:marBottom w:val="0"/>
      <w:divBdr>
        <w:top w:val="none" w:sz="0" w:space="0" w:color="auto"/>
        <w:left w:val="none" w:sz="0" w:space="0" w:color="auto"/>
        <w:bottom w:val="none" w:sz="0" w:space="0" w:color="auto"/>
        <w:right w:val="none" w:sz="0" w:space="0" w:color="auto"/>
      </w:divBdr>
    </w:div>
    <w:div w:id="151333250">
      <w:bodyDiv w:val="1"/>
      <w:marLeft w:val="0"/>
      <w:marRight w:val="0"/>
      <w:marTop w:val="0"/>
      <w:marBottom w:val="0"/>
      <w:divBdr>
        <w:top w:val="none" w:sz="0" w:space="0" w:color="auto"/>
        <w:left w:val="none" w:sz="0" w:space="0" w:color="auto"/>
        <w:bottom w:val="none" w:sz="0" w:space="0" w:color="auto"/>
        <w:right w:val="none" w:sz="0" w:space="0" w:color="auto"/>
      </w:divBdr>
    </w:div>
    <w:div w:id="151987973">
      <w:bodyDiv w:val="1"/>
      <w:marLeft w:val="0"/>
      <w:marRight w:val="0"/>
      <w:marTop w:val="0"/>
      <w:marBottom w:val="0"/>
      <w:divBdr>
        <w:top w:val="none" w:sz="0" w:space="0" w:color="auto"/>
        <w:left w:val="none" w:sz="0" w:space="0" w:color="auto"/>
        <w:bottom w:val="none" w:sz="0" w:space="0" w:color="auto"/>
        <w:right w:val="none" w:sz="0" w:space="0" w:color="auto"/>
      </w:divBdr>
    </w:div>
    <w:div w:id="153230873">
      <w:bodyDiv w:val="1"/>
      <w:marLeft w:val="0"/>
      <w:marRight w:val="0"/>
      <w:marTop w:val="0"/>
      <w:marBottom w:val="0"/>
      <w:divBdr>
        <w:top w:val="none" w:sz="0" w:space="0" w:color="auto"/>
        <w:left w:val="none" w:sz="0" w:space="0" w:color="auto"/>
        <w:bottom w:val="none" w:sz="0" w:space="0" w:color="auto"/>
        <w:right w:val="none" w:sz="0" w:space="0" w:color="auto"/>
      </w:divBdr>
    </w:div>
    <w:div w:id="154952935">
      <w:bodyDiv w:val="1"/>
      <w:marLeft w:val="0"/>
      <w:marRight w:val="0"/>
      <w:marTop w:val="0"/>
      <w:marBottom w:val="0"/>
      <w:divBdr>
        <w:top w:val="none" w:sz="0" w:space="0" w:color="auto"/>
        <w:left w:val="none" w:sz="0" w:space="0" w:color="auto"/>
        <w:bottom w:val="none" w:sz="0" w:space="0" w:color="auto"/>
        <w:right w:val="none" w:sz="0" w:space="0" w:color="auto"/>
      </w:divBdr>
    </w:div>
    <w:div w:id="157155466">
      <w:bodyDiv w:val="1"/>
      <w:marLeft w:val="0"/>
      <w:marRight w:val="0"/>
      <w:marTop w:val="0"/>
      <w:marBottom w:val="0"/>
      <w:divBdr>
        <w:top w:val="none" w:sz="0" w:space="0" w:color="auto"/>
        <w:left w:val="none" w:sz="0" w:space="0" w:color="auto"/>
        <w:bottom w:val="none" w:sz="0" w:space="0" w:color="auto"/>
        <w:right w:val="none" w:sz="0" w:space="0" w:color="auto"/>
      </w:divBdr>
    </w:div>
    <w:div w:id="157576704">
      <w:bodyDiv w:val="1"/>
      <w:marLeft w:val="0"/>
      <w:marRight w:val="0"/>
      <w:marTop w:val="0"/>
      <w:marBottom w:val="0"/>
      <w:divBdr>
        <w:top w:val="none" w:sz="0" w:space="0" w:color="auto"/>
        <w:left w:val="none" w:sz="0" w:space="0" w:color="auto"/>
        <w:bottom w:val="none" w:sz="0" w:space="0" w:color="auto"/>
        <w:right w:val="none" w:sz="0" w:space="0" w:color="auto"/>
      </w:divBdr>
    </w:div>
    <w:div w:id="159928900">
      <w:bodyDiv w:val="1"/>
      <w:marLeft w:val="0"/>
      <w:marRight w:val="0"/>
      <w:marTop w:val="0"/>
      <w:marBottom w:val="0"/>
      <w:divBdr>
        <w:top w:val="none" w:sz="0" w:space="0" w:color="auto"/>
        <w:left w:val="none" w:sz="0" w:space="0" w:color="auto"/>
        <w:bottom w:val="none" w:sz="0" w:space="0" w:color="auto"/>
        <w:right w:val="none" w:sz="0" w:space="0" w:color="auto"/>
      </w:divBdr>
    </w:div>
    <w:div w:id="166485453">
      <w:bodyDiv w:val="1"/>
      <w:marLeft w:val="0"/>
      <w:marRight w:val="0"/>
      <w:marTop w:val="0"/>
      <w:marBottom w:val="0"/>
      <w:divBdr>
        <w:top w:val="none" w:sz="0" w:space="0" w:color="auto"/>
        <w:left w:val="none" w:sz="0" w:space="0" w:color="auto"/>
        <w:bottom w:val="none" w:sz="0" w:space="0" w:color="auto"/>
        <w:right w:val="none" w:sz="0" w:space="0" w:color="auto"/>
      </w:divBdr>
    </w:div>
    <w:div w:id="169416646">
      <w:bodyDiv w:val="1"/>
      <w:marLeft w:val="0"/>
      <w:marRight w:val="0"/>
      <w:marTop w:val="0"/>
      <w:marBottom w:val="0"/>
      <w:divBdr>
        <w:top w:val="none" w:sz="0" w:space="0" w:color="auto"/>
        <w:left w:val="none" w:sz="0" w:space="0" w:color="auto"/>
        <w:bottom w:val="none" w:sz="0" w:space="0" w:color="auto"/>
        <w:right w:val="none" w:sz="0" w:space="0" w:color="auto"/>
      </w:divBdr>
    </w:div>
    <w:div w:id="171527867">
      <w:bodyDiv w:val="1"/>
      <w:marLeft w:val="0"/>
      <w:marRight w:val="0"/>
      <w:marTop w:val="0"/>
      <w:marBottom w:val="0"/>
      <w:divBdr>
        <w:top w:val="none" w:sz="0" w:space="0" w:color="auto"/>
        <w:left w:val="none" w:sz="0" w:space="0" w:color="auto"/>
        <w:bottom w:val="none" w:sz="0" w:space="0" w:color="auto"/>
        <w:right w:val="none" w:sz="0" w:space="0" w:color="auto"/>
      </w:divBdr>
    </w:div>
    <w:div w:id="180121231">
      <w:bodyDiv w:val="1"/>
      <w:marLeft w:val="0"/>
      <w:marRight w:val="0"/>
      <w:marTop w:val="0"/>
      <w:marBottom w:val="0"/>
      <w:divBdr>
        <w:top w:val="none" w:sz="0" w:space="0" w:color="auto"/>
        <w:left w:val="none" w:sz="0" w:space="0" w:color="auto"/>
        <w:bottom w:val="none" w:sz="0" w:space="0" w:color="auto"/>
        <w:right w:val="none" w:sz="0" w:space="0" w:color="auto"/>
      </w:divBdr>
    </w:div>
    <w:div w:id="184096795">
      <w:bodyDiv w:val="1"/>
      <w:marLeft w:val="0"/>
      <w:marRight w:val="0"/>
      <w:marTop w:val="0"/>
      <w:marBottom w:val="0"/>
      <w:divBdr>
        <w:top w:val="none" w:sz="0" w:space="0" w:color="auto"/>
        <w:left w:val="none" w:sz="0" w:space="0" w:color="auto"/>
        <w:bottom w:val="none" w:sz="0" w:space="0" w:color="auto"/>
        <w:right w:val="none" w:sz="0" w:space="0" w:color="auto"/>
      </w:divBdr>
    </w:div>
    <w:div w:id="184633535">
      <w:bodyDiv w:val="1"/>
      <w:marLeft w:val="0"/>
      <w:marRight w:val="0"/>
      <w:marTop w:val="0"/>
      <w:marBottom w:val="0"/>
      <w:divBdr>
        <w:top w:val="none" w:sz="0" w:space="0" w:color="auto"/>
        <w:left w:val="none" w:sz="0" w:space="0" w:color="auto"/>
        <w:bottom w:val="none" w:sz="0" w:space="0" w:color="auto"/>
        <w:right w:val="none" w:sz="0" w:space="0" w:color="auto"/>
      </w:divBdr>
    </w:div>
    <w:div w:id="193811352">
      <w:bodyDiv w:val="1"/>
      <w:marLeft w:val="0"/>
      <w:marRight w:val="0"/>
      <w:marTop w:val="0"/>
      <w:marBottom w:val="0"/>
      <w:divBdr>
        <w:top w:val="none" w:sz="0" w:space="0" w:color="auto"/>
        <w:left w:val="none" w:sz="0" w:space="0" w:color="auto"/>
        <w:bottom w:val="none" w:sz="0" w:space="0" w:color="auto"/>
        <w:right w:val="none" w:sz="0" w:space="0" w:color="auto"/>
      </w:divBdr>
    </w:div>
    <w:div w:id="196741672">
      <w:bodyDiv w:val="1"/>
      <w:marLeft w:val="0"/>
      <w:marRight w:val="0"/>
      <w:marTop w:val="0"/>
      <w:marBottom w:val="0"/>
      <w:divBdr>
        <w:top w:val="none" w:sz="0" w:space="0" w:color="auto"/>
        <w:left w:val="none" w:sz="0" w:space="0" w:color="auto"/>
        <w:bottom w:val="none" w:sz="0" w:space="0" w:color="auto"/>
        <w:right w:val="none" w:sz="0" w:space="0" w:color="auto"/>
      </w:divBdr>
    </w:div>
    <w:div w:id="196771481">
      <w:bodyDiv w:val="1"/>
      <w:marLeft w:val="0"/>
      <w:marRight w:val="0"/>
      <w:marTop w:val="0"/>
      <w:marBottom w:val="0"/>
      <w:divBdr>
        <w:top w:val="none" w:sz="0" w:space="0" w:color="auto"/>
        <w:left w:val="none" w:sz="0" w:space="0" w:color="auto"/>
        <w:bottom w:val="none" w:sz="0" w:space="0" w:color="auto"/>
        <w:right w:val="none" w:sz="0" w:space="0" w:color="auto"/>
      </w:divBdr>
    </w:div>
    <w:div w:id="200674840">
      <w:bodyDiv w:val="1"/>
      <w:marLeft w:val="0"/>
      <w:marRight w:val="0"/>
      <w:marTop w:val="0"/>
      <w:marBottom w:val="0"/>
      <w:divBdr>
        <w:top w:val="none" w:sz="0" w:space="0" w:color="auto"/>
        <w:left w:val="none" w:sz="0" w:space="0" w:color="auto"/>
        <w:bottom w:val="none" w:sz="0" w:space="0" w:color="auto"/>
        <w:right w:val="none" w:sz="0" w:space="0" w:color="auto"/>
      </w:divBdr>
    </w:div>
    <w:div w:id="201211927">
      <w:bodyDiv w:val="1"/>
      <w:marLeft w:val="0"/>
      <w:marRight w:val="0"/>
      <w:marTop w:val="0"/>
      <w:marBottom w:val="0"/>
      <w:divBdr>
        <w:top w:val="none" w:sz="0" w:space="0" w:color="auto"/>
        <w:left w:val="none" w:sz="0" w:space="0" w:color="auto"/>
        <w:bottom w:val="none" w:sz="0" w:space="0" w:color="auto"/>
        <w:right w:val="none" w:sz="0" w:space="0" w:color="auto"/>
      </w:divBdr>
    </w:div>
    <w:div w:id="202794370">
      <w:bodyDiv w:val="1"/>
      <w:marLeft w:val="0"/>
      <w:marRight w:val="0"/>
      <w:marTop w:val="0"/>
      <w:marBottom w:val="0"/>
      <w:divBdr>
        <w:top w:val="none" w:sz="0" w:space="0" w:color="auto"/>
        <w:left w:val="none" w:sz="0" w:space="0" w:color="auto"/>
        <w:bottom w:val="none" w:sz="0" w:space="0" w:color="auto"/>
        <w:right w:val="none" w:sz="0" w:space="0" w:color="auto"/>
      </w:divBdr>
    </w:div>
    <w:div w:id="215167735">
      <w:bodyDiv w:val="1"/>
      <w:marLeft w:val="0"/>
      <w:marRight w:val="0"/>
      <w:marTop w:val="0"/>
      <w:marBottom w:val="0"/>
      <w:divBdr>
        <w:top w:val="none" w:sz="0" w:space="0" w:color="auto"/>
        <w:left w:val="none" w:sz="0" w:space="0" w:color="auto"/>
        <w:bottom w:val="none" w:sz="0" w:space="0" w:color="auto"/>
        <w:right w:val="none" w:sz="0" w:space="0" w:color="auto"/>
      </w:divBdr>
    </w:div>
    <w:div w:id="223755857">
      <w:bodyDiv w:val="1"/>
      <w:marLeft w:val="0"/>
      <w:marRight w:val="0"/>
      <w:marTop w:val="0"/>
      <w:marBottom w:val="0"/>
      <w:divBdr>
        <w:top w:val="none" w:sz="0" w:space="0" w:color="auto"/>
        <w:left w:val="none" w:sz="0" w:space="0" w:color="auto"/>
        <w:bottom w:val="none" w:sz="0" w:space="0" w:color="auto"/>
        <w:right w:val="none" w:sz="0" w:space="0" w:color="auto"/>
      </w:divBdr>
    </w:div>
    <w:div w:id="225797494">
      <w:bodyDiv w:val="1"/>
      <w:marLeft w:val="0"/>
      <w:marRight w:val="0"/>
      <w:marTop w:val="0"/>
      <w:marBottom w:val="0"/>
      <w:divBdr>
        <w:top w:val="none" w:sz="0" w:space="0" w:color="auto"/>
        <w:left w:val="none" w:sz="0" w:space="0" w:color="auto"/>
        <w:bottom w:val="none" w:sz="0" w:space="0" w:color="auto"/>
        <w:right w:val="none" w:sz="0" w:space="0" w:color="auto"/>
      </w:divBdr>
    </w:div>
    <w:div w:id="234433852">
      <w:bodyDiv w:val="1"/>
      <w:marLeft w:val="0"/>
      <w:marRight w:val="0"/>
      <w:marTop w:val="0"/>
      <w:marBottom w:val="0"/>
      <w:divBdr>
        <w:top w:val="none" w:sz="0" w:space="0" w:color="auto"/>
        <w:left w:val="none" w:sz="0" w:space="0" w:color="auto"/>
        <w:bottom w:val="none" w:sz="0" w:space="0" w:color="auto"/>
        <w:right w:val="none" w:sz="0" w:space="0" w:color="auto"/>
      </w:divBdr>
    </w:div>
    <w:div w:id="244269030">
      <w:bodyDiv w:val="1"/>
      <w:marLeft w:val="0"/>
      <w:marRight w:val="0"/>
      <w:marTop w:val="0"/>
      <w:marBottom w:val="0"/>
      <w:divBdr>
        <w:top w:val="none" w:sz="0" w:space="0" w:color="auto"/>
        <w:left w:val="none" w:sz="0" w:space="0" w:color="auto"/>
        <w:bottom w:val="none" w:sz="0" w:space="0" w:color="auto"/>
        <w:right w:val="none" w:sz="0" w:space="0" w:color="auto"/>
      </w:divBdr>
    </w:div>
    <w:div w:id="244416073">
      <w:bodyDiv w:val="1"/>
      <w:marLeft w:val="0"/>
      <w:marRight w:val="0"/>
      <w:marTop w:val="0"/>
      <w:marBottom w:val="0"/>
      <w:divBdr>
        <w:top w:val="none" w:sz="0" w:space="0" w:color="auto"/>
        <w:left w:val="none" w:sz="0" w:space="0" w:color="auto"/>
        <w:bottom w:val="none" w:sz="0" w:space="0" w:color="auto"/>
        <w:right w:val="none" w:sz="0" w:space="0" w:color="auto"/>
      </w:divBdr>
    </w:div>
    <w:div w:id="253130904">
      <w:bodyDiv w:val="1"/>
      <w:marLeft w:val="0"/>
      <w:marRight w:val="0"/>
      <w:marTop w:val="0"/>
      <w:marBottom w:val="0"/>
      <w:divBdr>
        <w:top w:val="none" w:sz="0" w:space="0" w:color="auto"/>
        <w:left w:val="none" w:sz="0" w:space="0" w:color="auto"/>
        <w:bottom w:val="none" w:sz="0" w:space="0" w:color="auto"/>
        <w:right w:val="none" w:sz="0" w:space="0" w:color="auto"/>
      </w:divBdr>
    </w:div>
    <w:div w:id="257569007">
      <w:bodyDiv w:val="1"/>
      <w:marLeft w:val="0"/>
      <w:marRight w:val="0"/>
      <w:marTop w:val="0"/>
      <w:marBottom w:val="0"/>
      <w:divBdr>
        <w:top w:val="none" w:sz="0" w:space="0" w:color="auto"/>
        <w:left w:val="none" w:sz="0" w:space="0" w:color="auto"/>
        <w:bottom w:val="none" w:sz="0" w:space="0" w:color="auto"/>
        <w:right w:val="none" w:sz="0" w:space="0" w:color="auto"/>
      </w:divBdr>
    </w:div>
    <w:div w:id="270090861">
      <w:bodyDiv w:val="1"/>
      <w:marLeft w:val="0"/>
      <w:marRight w:val="0"/>
      <w:marTop w:val="0"/>
      <w:marBottom w:val="0"/>
      <w:divBdr>
        <w:top w:val="none" w:sz="0" w:space="0" w:color="auto"/>
        <w:left w:val="none" w:sz="0" w:space="0" w:color="auto"/>
        <w:bottom w:val="none" w:sz="0" w:space="0" w:color="auto"/>
        <w:right w:val="none" w:sz="0" w:space="0" w:color="auto"/>
      </w:divBdr>
    </w:div>
    <w:div w:id="275020807">
      <w:bodyDiv w:val="1"/>
      <w:marLeft w:val="0"/>
      <w:marRight w:val="0"/>
      <w:marTop w:val="0"/>
      <w:marBottom w:val="0"/>
      <w:divBdr>
        <w:top w:val="none" w:sz="0" w:space="0" w:color="auto"/>
        <w:left w:val="none" w:sz="0" w:space="0" w:color="auto"/>
        <w:bottom w:val="none" w:sz="0" w:space="0" w:color="auto"/>
        <w:right w:val="none" w:sz="0" w:space="0" w:color="auto"/>
      </w:divBdr>
    </w:div>
    <w:div w:id="275454163">
      <w:bodyDiv w:val="1"/>
      <w:marLeft w:val="0"/>
      <w:marRight w:val="0"/>
      <w:marTop w:val="0"/>
      <w:marBottom w:val="0"/>
      <w:divBdr>
        <w:top w:val="none" w:sz="0" w:space="0" w:color="auto"/>
        <w:left w:val="none" w:sz="0" w:space="0" w:color="auto"/>
        <w:bottom w:val="none" w:sz="0" w:space="0" w:color="auto"/>
        <w:right w:val="none" w:sz="0" w:space="0" w:color="auto"/>
      </w:divBdr>
    </w:div>
    <w:div w:id="277757225">
      <w:bodyDiv w:val="1"/>
      <w:marLeft w:val="0"/>
      <w:marRight w:val="0"/>
      <w:marTop w:val="0"/>
      <w:marBottom w:val="0"/>
      <w:divBdr>
        <w:top w:val="none" w:sz="0" w:space="0" w:color="auto"/>
        <w:left w:val="none" w:sz="0" w:space="0" w:color="auto"/>
        <w:bottom w:val="none" w:sz="0" w:space="0" w:color="auto"/>
        <w:right w:val="none" w:sz="0" w:space="0" w:color="auto"/>
      </w:divBdr>
    </w:div>
    <w:div w:id="283736204">
      <w:bodyDiv w:val="1"/>
      <w:marLeft w:val="0"/>
      <w:marRight w:val="0"/>
      <w:marTop w:val="0"/>
      <w:marBottom w:val="0"/>
      <w:divBdr>
        <w:top w:val="none" w:sz="0" w:space="0" w:color="auto"/>
        <w:left w:val="none" w:sz="0" w:space="0" w:color="auto"/>
        <w:bottom w:val="none" w:sz="0" w:space="0" w:color="auto"/>
        <w:right w:val="none" w:sz="0" w:space="0" w:color="auto"/>
      </w:divBdr>
    </w:div>
    <w:div w:id="290402622">
      <w:bodyDiv w:val="1"/>
      <w:marLeft w:val="0"/>
      <w:marRight w:val="0"/>
      <w:marTop w:val="0"/>
      <w:marBottom w:val="0"/>
      <w:divBdr>
        <w:top w:val="none" w:sz="0" w:space="0" w:color="auto"/>
        <w:left w:val="none" w:sz="0" w:space="0" w:color="auto"/>
        <w:bottom w:val="none" w:sz="0" w:space="0" w:color="auto"/>
        <w:right w:val="none" w:sz="0" w:space="0" w:color="auto"/>
      </w:divBdr>
    </w:div>
    <w:div w:id="291593491">
      <w:bodyDiv w:val="1"/>
      <w:marLeft w:val="0"/>
      <w:marRight w:val="0"/>
      <w:marTop w:val="0"/>
      <w:marBottom w:val="0"/>
      <w:divBdr>
        <w:top w:val="none" w:sz="0" w:space="0" w:color="auto"/>
        <w:left w:val="none" w:sz="0" w:space="0" w:color="auto"/>
        <w:bottom w:val="none" w:sz="0" w:space="0" w:color="auto"/>
        <w:right w:val="none" w:sz="0" w:space="0" w:color="auto"/>
      </w:divBdr>
    </w:div>
    <w:div w:id="292636587">
      <w:bodyDiv w:val="1"/>
      <w:marLeft w:val="0"/>
      <w:marRight w:val="0"/>
      <w:marTop w:val="0"/>
      <w:marBottom w:val="0"/>
      <w:divBdr>
        <w:top w:val="none" w:sz="0" w:space="0" w:color="auto"/>
        <w:left w:val="none" w:sz="0" w:space="0" w:color="auto"/>
        <w:bottom w:val="none" w:sz="0" w:space="0" w:color="auto"/>
        <w:right w:val="none" w:sz="0" w:space="0" w:color="auto"/>
      </w:divBdr>
    </w:div>
    <w:div w:id="295651178">
      <w:bodyDiv w:val="1"/>
      <w:marLeft w:val="0"/>
      <w:marRight w:val="0"/>
      <w:marTop w:val="0"/>
      <w:marBottom w:val="0"/>
      <w:divBdr>
        <w:top w:val="none" w:sz="0" w:space="0" w:color="auto"/>
        <w:left w:val="none" w:sz="0" w:space="0" w:color="auto"/>
        <w:bottom w:val="none" w:sz="0" w:space="0" w:color="auto"/>
        <w:right w:val="none" w:sz="0" w:space="0" w:color="auto"/>
      </w:divBdr>
    </w:div>
    <w:div w:id="319698410">
      <w:bodyDiv w:val="1"/>
      <w:marLeft w:val="0"/>
      <w:marRight w:val="0"/>
      <w:marTop w:val="0"/>
      <w:marBottom w:val="0"/>
      <w:divBdr>
        <w:top w:val="none" w:sz="0" w:space="0" w:color="auto"/>
        <w:left w:val="none" w:sz="0" w:space="0" w:color="auto"/>
        <w:bottom w:val="none" w:sz="0" w:space="0" w:color="auto"/>
        <w:right w:val="none" w:sz="0" w:space="0" w:color="auto"/>
      </w:divBdr>
    </w:div>
    <w:div w:id="333382141">
      <w:bodyDiv w:val="1"/>
      <w:marLeft w:val="0"/>
      <w:marRight w:val="0"/>
      <w:marTop w:val="0"/>
      <w:marBottom w:val="0"/>
      <w:divBdr>
        <w:top w:val="none" w:sz="0" w:space="0" w:color="auto"/>
        <w:left w:val="none" w:sz="0" w:space="0" w:color="auto"/>
        <w:bottom w:val="none" w:sz="0" w:space="0" w:color="auto"/>
        <w:right w:val="none" w:sz="0" w:space="0" w:color="auto"/>
      </w:divBdr>
    </w:div>
    <w:div w:id="333729363">
      <w:bodyDiv w:val="1"/>
      <w:marLeft w:val="0"/>
      <w:marRight w:val="0"/>
      <w:marTop w:val="0"/>
      <w:marBottom w:val="0"/>
      <w:divBdr>
        <w:top w:val="none" w:sz="0" w:space="0" w:color="auto"/>
        <w:left w:val="none" w:sz="0" w:space="0" w:color="auto"/>
        <w:bottom w:val="none" w:sz="0" w:space="0" w:color="auto"/>
        <w:right w:val="none" w:sz="0" w:space="0" w:color="auto"/>
      </w:divBdr>
    </w:div>
    <w:div w:id="334386688">
      <w:bodyDiv w:val="1"/>
      <w:marLeft w:val="0"/>
      <w:marRight w:val="0"/>
      <w:marTop w:val="0"/>
      <w:marBottom w:val="0"/>
      <w:divBdr>
        <w:top w:val="none" w:sz="0" w:space="0" w:color="auto"/>
        <w:left w:val="none" w:sz="0" w:space="0" w:color="auto"/>
        <w:bottom w:val="none" w:sz="0" w:space="0" w:color="auto"/>
        <w:right w:val="none" w:sz="0" w:space="0" w:color="auto"/>
      </w:divBdr>
    </w:div>
    <w:div w:id="336688277">
      <w:bodyDiv w:val="1"/>
      <w:marLeft w:val="0"/>
      <w:marRight w:val="0"/>
      <w:marTop w:val="0"/>
      <w:marBottom w:val="0"/>
      <w:divBdr>
        <w:top w:val="none" w:sz="0" w:space="0" w:color="auto"/>
        <w:left w:val="none" w:sz="0" w:space="0" w:color="auto"/>
        <w:bottom w:val="none" w:sz="0" w:space="0" w:color="auto"/>
        <w:right w:val="none" w:sz="0" w:space="0" w:color="auto"/>
      </w:divBdr>
    </w:div>
    <w:div w:id="338312826">
      <w:bodyDiv w:val="1"/>
      <w:marLeft w:val="0"/>
      <w:marRight w:val="0"/>
      <w:marTop w:val="0"/>
      <w:marBottom w:val="0"/>
      <w:divBdr>
        <w:top w:val="none" w:sz="0" w:space="0" w:color="auto"/>
        <w:left w:val="none" w:sz="0" w:space="0" w:color="auto"/>
        <w:bottom w:val="none" w:sz="0" w:space="0" w:color="auto"/>
        <w:right w:val="none" w:sz="0" w:space="0" w:color="auto"/>
      </w:divBdr>
    </w:div>
    <w:div w:id="343091034">
      <w:bodyDiv w:val="1"/>
      <w:marLeft w:val="0"/>
      <w:marRight w:val="0"/>
      <w:marTop w:val="0"/>
      <w:marBottom w:val="0"/>
      <w:divBdr>
        <w:top w:val="none" w:sz="0" w:space="0" w:color="auto"/>
        <w:left w:val="none" w:sz="0" w:space="0" w:color="auto"/>
        <w:bottom w:val="none" w:sz="0" w:space="0" w:color="auto"/>
        <w:right w:val="none" w:sz="0" w:space="0" w:color="auto"/>
      </w:divBdr>
    </w:div>
    <w:div w:id="344787399">
      <w:bodyDiv w:val="1"/>
      <w:marLeft w:val="0"/>
      <w:marRight w:val="0"/>
      <w:marTop w:val="0"/>
      <w:marBottom w:val="0"/>
      <w:divBdr>
        <w:top w:val="none" w:sz="0" w:space="0" w:color="auto"/>
        <w:left w:val="none" w:sz="0" w:space="0" w:color="auto"/>
        <w:bottom w:val="none" w:sz="0" w:space="0" w:color="auto"/>
        <w:right w:val="none" w:sz="0" w:space="0" w:color="auto"/>
      </w:divBdr>
    </w:div>
    <w:div w:id="351304970">
      <w:bodyDiv w:val="1"/>
      <w:marLeft w:val="0"/>
      <w:marRight w:val="0"/>
      <w:marTop w:val="0"/>
      <w:marBottom w:val="0"/>
      <w:divBdr>
        <w:top w:val="none" w:sz="0" w:space="0" w:color="auto"/>
        <w:left w:val="none" w:sz="0" w:space="0" w:color="auto"/>
        <w:bottom w:val="none" w:sz="0" w:space="0" w:color="auto"/>
        <w:right w:val="none" w:sz="0" w:space="0" w:color="auto"/>
      </w:divBdr>
    </w:div>
    <w:div w:id="362052586">
      <w:bodyDiv w:val="1"/>
      <w:marLeft w:val="0"/>
      <w:marRight w:val="0"/>
      <w:marTop w:val="0"/>
      <w:marBottom w:val="0"/>
      <w:divBdr>
        <w:top w:val="none" w:sz="0" w:space="0" w:color="auto"/>
        <w:left w:val="none" w:sz="0" w:space="0" w:color="auto"/>
        <w:bottom w:val="none" w:sz="0" w:space="0" w:color="auto"/>
        <w:right w:val="none" w:sz="0" w:space="0" w:color="auto"/>
      </w:divBdr>
    </w:div>
    <w:div w:id="364870797">
      <w:bodyDiv w:val="1"/>
      <w:marLeft w:val="0"/>
      <w:marRight w:val="0"/>
      <w:marTop w:val="0"/>
      <w:marBottom w:val="0"/>
      <w:divBdr>
        <w:top w:val="none" w:sz="0" w:space="0" w:color="auto"/>
        <w:left w:val="none" w:sz="0" w:space="0" w:color="auto"/>
        <w:bottom w:val="none" w:sz="0" w:space="0" w:color="auto"/>
        <w:right w:val="none" w:sz="0" w:space="0" w:color="auto"/>
      </w:divBdr>
    </w:div>
    <w:div w:id="368913793">
      <w:bodyDiv w:val="1"/>
      <w:marLeft w:val="0"/>
      <w:marRight w:val="0"/>
      <w:marTop w:val="0"/>
      <w:marBottom w:val="0"/>
      <w:divBdr>
        <w:top w:val="none" w:sz="0" w:space="0" w:color="auto"/>
        <w:left w:val="none" w:sz="0" w:space="0" w:color="auto"/>
        <w:bottom w:val="none" w:sz="0" w:space="0" w:color="auto"/>
        <w:right w:val="none" w:sz="0" w:space="0" w:color="auto"/>
      </w:divBdr>
    </w:div>
    <w:div w:id="369912896">
      <w:bodyDiv w:val="1"/>
      <w:marLeft w:val="0"/>
      <w:marRight w:val="0"/>
      <w:marTop w:val="0"/>
      <w:marBottom w:val="0"/>
      <w:divBdr>
        <w:top w:val="none" w:sz="0" w:space="0" w:color="auto"/>
        <w:left w:val="none" w:sz="0" w:space="0" w:color="auto"/>
        <w:bottom w:val="none" w:sz="0" w:space="0" w:color="auto"/>
        <w:right w:val="none" w:sz="0" w:space="0" w:color="auto"/>
      </w:divBdr>
    </w:div>
    <w:div w:id="372390989">
      <w:bodyDiv w:val="1"/>
      <w:marLeft w:val="0"/>
      <w:marRight w:val="0"/>
      <w:marTop w:val="0"/>
      <w:marBottom w:val="0"/>
      <w:divBdr>
        <w:top w:val="none" w:sz="0" w:space="0" w:color="auto"/>
        <w:left w:val="none" w:sz="0" w:space="0" w:color="auto"/>
        <w:bottom w:val="none" w:sz="0" w:space="0" w:color="auto"/>
        <w:right w:val="none" w:sz="0" w:space="0" w:color="auto"/>
      </w:divBdr>
    </w:div>
    <w:div w:id="379211337">
      <w:bodyDiv w:val="1"/>
      <w:marLeft w:val="0"/>
      <w:marRight w:val="0"/>
      <w:marTop w:val="0"/>
      <w:marBottom w:val="0"/>
      <w:divBdr>
        <w:top w:val="none" w:sz="0" w:space="0" w:color="auto"/>
        <w:left w:val="none" w:sz="0" w:space="0" w:color="auto"/>
        <w:bottom w:val="none" w:sz="0" w:space="0" w:color="auto"/>
        <w:right w:val="none" w:sz="0" w:space="0" w:color="auto"/>
      </w:divBdr>
    </w:div>
    <w:div w:id="388192334">
      <w:bodyDiv w:val="1"/>
      <w:marLeft w:val="0"/>
      <w:marRight w:val="0"/>
      <w:marTop w:val="0"/>
      <w:marBottom w:val="0"/>
      <w:divBdr>
        <w:top w:val="none" w:sz="0" w:space="0" w:color="auto"/>
        <w:left w:val="none" w:sz="0" w:space="0" w:color="auto"/>
        <w:bottom w:val="none" w:sz="0" w:space="0" w:color="auto"/>
        <w:right w:val="none" w:sz="0" w:space="0" w:color="auto"/>
      </w:divBdr>
    </w:div>
    <w:div w:id="389422311">
      <w:bodyDiv w:val="1"/>
      <w:marLeft w:val="0"/>
      <w:marRight w:val="0"/>
      <w:marTop w:val="0"/>
      <w:marBottom w:val="0"/>
      <w:divBdr>
        <w:top w:val="none" w:sz="0" w:space="0" w:color="auto"/>
        <w:left w:val="none" w:sz="0" w:space="0" w:color="auto"/>
        <w:bottom w:val="none" w:sz="0" w:space="0" w:color="auto"/>
        <w:right w:val="none" w:sz="0" w:space="0" w:color="auto"/>
      </w:divBdr>
    </w:div>
    <w:div w:id="392118040">
      <w:bodyDiv w:val="1"/>
      <w:marLeft w:val="0"/>
      <w:marRight w:val="0"/>
      <w:marTop w:val="0"/>
      <w:marBottom w:val="0"/>
      <w:divBdr>
        <w:top w:val="none" w:sz="0" w:space="0" w:color="auto"/>
        <w:left w:val="none" w:sz="0" w:space="0" w:color="auto"/>
        <w:bottom w:val="none" w:sz="0" w:space="0" w:color="auto"/>
        <w:right w:val="none" w:sz="0" w:space="0" w:color="auto"/>
      </w:divBdr>
    </w:div>
    <w:div w:id="404032614">
      <w:bodyDiv w:val="1"/>
      <w:marLeft w:val="0"/>
      <w:marRight w:val="0"/>
      <w:marTop w:val="0"/>
      <w:marBottom w:val="0"/>
      <w:divBdr>
        <w:top w:val="none" w:sz="0" w:space="0" w:color="auto"/>
        <w:left w:val="none" w:sz="0" w:space="0" w:color="auto"/>
        <w:bottom w:val="none" w:sz="0" w:space="0" w:color="auto"/>
        <w:right w:val="none" w:sz="0" w:space="0" w:color="auto"/>
      </w:divBdr>
    </w:div>
    <w:div w:id="404111037">
      <w:bodyDiv w:val="1"/>
      <w:marLeft w:val="0"/>
      <w:marRight w:val="0"/>
      <w:marTop w:val="0"/>
      <w:marBottom w:val="0"/>
      <w:divBdr>
        <w:top w:val="none" w:sz="0" w:space="0" w:color="auto"/>
        <w:left w:val="none" w:sz="0" w:space="0" w:color="auto"/>
        <w:bottom w:val="none" w:sz="0" w:space="0" w:color="auto"/>
        <w:right w:val="none" w:sz="0" w:space="0" w:color="auto"/>
      </w:divBdr>
    </w:div>
    <w:div w:id="406073633">
      <w:bodyDiv w:val="1"/>
      <w:marLeft w:val="0"/>
      <w:marRight w:val="0"/>
      <w:marTop w:val="0"/>
      <w:marBottom w:val="0"/>
      <w:divBdr>
        <w:top w:val="none" w:sz="0" w:space="0" w:color="auto"/>
        <w:left w:val="none" w:sz="0" w:space="0" w:color="auto"/>
        <w:bottom w:val="none" w:sz="0" w:space="0" w:color="auto"/>
        <w:right w:val="none" w:sz="0" w:space="0" w:color="auto"/>
      </w:divBdr>
    </w:div>
    <w:div w:id="406080046">
      <w:bodyDiv w:val="1"/>
      <w:marLeft w:val="0"/>
      <w:marRight w:val="0"/>
      <w:marTop w:val="0"/>
      <w:marBottom w:val="0"/>
      <w:divBdr>
        <w:top w:val="none" w:sz="0" w:space="0" w:color="auto"/>
        <w:left w:val="none" w:sz="0" w:space="0" w:color="auto"/>
        <w:bottom w:val="none" w:sz="0" w:space="0" w:color="auto"/>
        <w:right w:val="none" w:sz="0" w:space="0" w:color="auto"/>
      </w:divBdr>
    </w:div>
    <w:div w:id="411200367">
      <w:bodyDiv w:val="1"/>
      <w:marLeft w:val="0"/>
      <w:marRight w:val="0"/>
      <w:marTop w:val="0"/>
      <w:marBottom w:val="0"/>
      <w:divBdr>
        <w:top w:val="none" w:sz="0" w:space="0" w:color="auto"/>
        <w:left w:val="none" w:sz="0" w:space="0" w:color="auto"/>
        <w:bottom w:val="none" w:sz="0" w:space="0" w:color="auto"/>
        <w:right w:val="none" w:sz="0" w:space="0" w:color="auto"/>
      </w:divBdr>
    </w:div>
    <w:div w:id="415592763">
      <w:bodyDiv w:val="1"/>
      <w:marLeft w:val="0"/>
      <w:marRight w:val="0"/>
      <w:marTop w:val="0"/>
      <w:marBottom w:val="0"/>
      <w:divBdr>
        <w:top w:val="none" w:sz="0" w:space="0" w:color="auto"/>
        <w:left w:val="none" w:sz="0" w:space="0" w:color="auto"/>
        <w:bottom w:val="none" w:sz="0" w:space="0" w:color="auto"/>
        <w:right w:val="none" w:sz="0" w:space="0" w:color="auto"/>
      </w:divBdr>
    </w:div>
    <w:div w:id="419253645">
      <w:bodyDiv w:val="1"/>
      <w:marLeft w:val="0"/>
      <w:marRight w:val="0"/>
      <w:marTop w:val="0"/>
      <w:marBottom w:val="0"/>
      <w:divBdr>
        <w:top w:val="none" w:sz="0" w:space="0" w:color="auto"/>
        <w:left w:val="none" w:sz="0" w:space="0" w:color="auto"/>
        <w:bottom w:val="none" w:sz="0" w:space="0" w:color="auto"/>
        <w:right w:val="none" w:sz="0" w:space="0" w:color="auto"/>
      </w:divBdr>
    </w:div>
    <w:div w:id="419526933">
      <w:bodyDiv w:val="1"/>
      <w:marLeft w:val="0"/>
      <w:marRight w:val="0"/>
      <w:marTop w:val="0"/>
      <w:marBottom w:val="0"/>
      <w:divBdr>
        <w:top w:val="none" w:sz="0" w:space="0" w:color="auto"/>
        <w:left w:val="none" w:sz="0" w:space="0" w:color="auto"/>
        <w:bottom w:val="none" w:sz="0" w:space="0" w:color="auto"/>
        <w:right w:val="none" w:sz="0" w:space="0" w:color="auto"/>
      </w:divBdr>
    </w:div>
    <w:div w:id="429349227">
      <w:bodyDiv w:val="1"/>
      <w:marLeft w:val="0"/>
      <w:marRight w:val="0"/>
      <w:marTop w:val="0"/>
      <w:marBottom w:val="0"/>
      <w:divBdr>
        <w:top w:val="none" w:sz="0" w:space="0" w:color="auto"/>
        <w:left w:val="none" w:sz="0" w:space="0" w:color="auto"/>
        <w:bottom w:val="none" w:sz="0" w:space="0" w:color="auto"/>
        <w:right w:val="none" w:sz="0" w:space="0" w:color="auto"/>
      </w:divBdr>
    </w:div>
    <w:div w:id="435365779">
      <w:bodyDiv w:val="1"/>
      <w:marLeft w:val="0"/>
      <w:marRight w:val="0"/>
      <w:marTop w:val="0"/>
      <w:marBottom w:val="0"/>
      <w:divBdr>
        <w:top w:val="none" w:sz="0" w:space="0" w:color="auto"/>
        <w:left w:val="none" w:sz="0" w:space="0" w:color="auto"/>
        <w:bottom w:val="none" w:sz="0" w:space="0" w:color="auto"/>
        <w:right w:val="none" w:sz="0" w:space="0" w:color="auto"/>
      </w:divBdr>
    </w:div>
    <w:div w:id="438645580">
      <w:bodyDiv w:val="1"/>
      <w:marLeft w:val="0"/>
      <w:marRight w:val="0"/>
      <w:marTop w:val="0"/>
      <w:marBottom w:val="0"/>
      <w:divBdr>
        <w:top w:val="none" w:sz="0" w:space="0" w:color="auto"/>
        <w:left w:val="none" w:sz="0" w:space="0" w:color="auto"/>
        <w:bottom w:val="none" w:sz="0" w:space="0" w:color="auto"/>
        <w:right w:val="none" w:sz="0" w:space="0" w:color="auto"/>
      </w:divBdr>
    </w:div>
    <w:div w:id="438839043">
      <w:bodyDiv w:val="1"/>
      <w:marLeft w:val="0"/>
      <w:marRight w:val="0"/>
      <w:marTop w:val="0"/>
      <w:marBottom w:val="0"/>
      <w:divBdr>
        <w:top w:val="none" w:sz="0" w:space="0" w:color="auto"/>
        <w:left w:val="none" w:sz="0" w:space="0" w:color="auto"/>
        <w:bottom w:val="none" w:sz="0" w:space="0" w:color="auto"/>
        <w:right w:val="none" w:sz="0" w:space="0" w:color="auto"/>
      </w:divBdr>
    </w:div>
    <w:div w:id="440299426">
      <w:bodyDiv w:val="1"/>
      <w:marLeft w:val="0"/>
      <w:marRight w:val="0"/>
      <w:marTop w:val="0"/>
      <w:marBottom w:val="0"/>
      <w:divBdr>
        <w:top w:val="none" w:sz="0" w:space="0" w:color="auto"/>
        <w:left w:val="none" w:sz="0" w:space="0" w:color="auto"/>
        <w:bottom w:val="none" w:sz="0" w:space="0" w:color="auto"/>
        <w:right w:val="none" w:sz="0" w:space="0" w:color="auto"/>
      </w:divBdr>
    </w:div>
    <w:div w:id="440927113">
      <w:bodyDiv w:val="1"/>
      <w:marLeft w:val="0"/>
      <w:marRight w:val="0"/>
      <w:marTop w:val="0"/>
      <w:marBottom w:val="0"/>
      <w:divBdr>
        <w:top w:val="none" w:sz="0" w:space="0" w:color="auto"/>
        <w:left w:val="none" w:sz="0" w:space="0" w:color="auto"/>
        <w:bottom w:val="none" w:sz="0" w:space="0" w:color="auto"/>
        <w:right w:val="none" w:sz="0" w:space="0" w:color="auto"/>
      </w:divBdr>
    </w:div>
    <w:div w:id="442960357">
      <w:bodyDiv w:val="1"/>
      <w:marLeft w:val="0"/>
      <w:marRight w:val="0"/>
      <w:marTop w:val="0"/>
      <w:marBottom w:val="0"/>
      <w:divBdr>
        <w:top w:val="none" w:sz="0" w:space="0" w:color="auto"/>
        <w:left w:val="none" w:sz="0" w:space="0" w:color="auto"/>
        <w:bottom w:val="none" w:sz="0" w:space="0" w:color="auto"/>
        <w:right w:val="none" w:sz="0" w:space="0" w:color="auto"/>
      </w:divBdr>
    </w:div>
    <w:div w:id="443379263">
      <w:bodyDiv w:val="1"/>
      <w:marLeft w:val="0"/>
      <w:marRight w:val="0"/>
      <w:marTop w:val="0"/>
      <w:marBottom w:val="0"/>
      <w:divBdr>
        <w:top w:val="none" w:sz="0" w:space="0" w:color="auto"/>
        <w:left w:val="none" w:sz="0" w:space="0" w:color="auto"/>
        <w:bottom w:val="none" w:sz="0" w:space="0" w:color="auto"/>
        <w:right w:val="none" w:sz="0" w:space="0" w:color="auto"/>
      </w:divBdr>
    </w:div>
    <w:div w:id="445544586">
      <w:bodyDiv w:val="1"/>
      <w:marLeft w:val="0"/>
      <w:marRight w:val="0"/>
      <w:marTop w:val="0"/>
      <w:marBottom w:val="0"/>
      <w:divBdr>
        <w:top w:val="none" w:sz="0" w:space="0" w:color="auto"/>
        <w:left w:val="none" w:sz="0" w:space="0" w:color="auto"/>
        <w:bottom w:val="none" w:sz="0" w:space="0" w:color="auto"/>
        <w:right w:val="none" w:sz="0" w:space="0" w:color="auto"/>
      </w:divBdr>
    </w:div>
    <w:div w:id="453867237">
      <w:bodyDiv w:val="1"/>
      <w:marLeft w:val="0"/>
      <w:marRight w:val="0"/>
      <w:marTop w:val="0"/>
      <w:marBottom w:val="0"/>
      <w:divBdr>
        <w:top w:val="none" w:sz="0" w:space="0" w:color="auto"/>
        <w:left w:val="none" w:sz="0" w:space="0" w:color="auto"/>
        <w:bottom w:val="none" w:sz="0" w:space="0" w:color="auto"/>
        <w:right w:val="none" w:sz="0" w:space="0" w:color="auto"/>
      </w:divBdr>
    </w:div>
    <w:div w:id="454449464">
      <w:bodyDiv w:val="1"/>
      <w:marLeft w:val="0"/>
      <w:marRight w:val="0"/>
      <w:marTop w:val="0"/>
      <w:marBottom w:val="0"/>
      <w:divBdr>
        <w:top w:val="none" w:sz="0" w:space="0" w:color="auto"/>
        <w:left w:val="none" w:sz="0" w:space="0" w:color="auto"/>
        <w:bottom w:val="none" w:sz="0" w:space="0" w:color="auto"/>
        <w:right w:val="none" w:sz="0" w:space="0" w:color="auto"/>
      </w:divBdr>
    </w:div>
    <w:div w:id="461195171">
      <w:bodyDiv w:val="1"/>
      <w:marLeft w:val="0"/>
      <w:marRight w:val="0"/>
      <w:marTop w:val="0"/>
      <w:marBottom w:val="0"/>
      <w:divBdr>
        <w:top w:val="none" w:sz="0" w:space="0" w:color="auto"/>
        <w:left w:val="none" w:sz="0" w:space="0" w:color="auto"/>
        <w:bottom w:val="none" w:sz="0" w:space="0" w:color="auto"/>
        <w:right w:val="none" w:sz="0" w:space="0" w:color="auto"/>
      </w:divBdr>
    </w:div>
    <w:div w:id="462232680">
      <w:bodyDiv w:val="1"/>
      <w:marLeft w:val="0"/>
      <w:marRight w:val="0"/>
      <w:marTop w:val="0"/>
      <w:marBottom w:val="0"/>
      <w:divBdr>
        <w:top w:val="none" w:sz="0" w:space="0" w:color="auto"/>
        <w:left w:val="none" w:sz="0" w:space="0" w:color="auto"/>
        <w:bottom w:val="none" w:sz="0" w:space="0" w:color="auto"/>
        <w:right w:val="none" w:sz="0" w:space="0" w:color="auto"/>
      </w:divBdr>
    </w:div>
    <w:div w:id="463156707">
      <w:bodyDiv w:val="1"/>
      <w:marLeft w:val="0"/>
      <w:marRight w:val="0"/>
      <w:marTop w:val="0"/>
      <w:marBottom w:val="0"/>
      <w:divBdr>
        <w:top w:val="none" w:sz="0" w:space="0" w:color="auto"/>
        <w:left w:val="none" w:sz="0" w:space="0" w:color="auto"/>
        <w:bottom w:val="none" w:sz="0" w:space="0" w:color="auto"/>
        <w:right w:val="none" w:sz="0" w:space="0" w:color="auto"/>
      </w:divBdr>
    </w:div>
    <w:div w:id="475682312">
      <w:bodyDiv w:val="1"/>
      <w:marLeft w:val="0"/>
      <w:marRight w:val="0"/>
      <w:marTop w:val="0"/>
      <w:marBottom w:val="0"/>
      <w:divBdr>
        <w:top w:val="none" w:sz="0" w:space="0" w:color="auto"/>
        <w:left w:val="none" w:sz="0" w:space="0" w:color="auto"/>
        <w:bottom w:val="none" w:sz="0" w:space="0" w:color="auto"/>
        <w:right w:val="none" w:sz="0" w:space="0" w:color="auto"/>
      </w:divBdr>
    </w:div>
    <w:div w:id="475992353">
      <w:bodyDiv w:val="1"/>
      <w:marLeft w:val="0"/>
      <w:marRight w:val="0"/>
      <w:marTop w:val="0"/>
      <w:marBottom w:val="0"/>
      <w:divBdr>
        <w:top w:val="none" w:sz="0" w:space="0" w:color="auto"/>
        <w:left w:val="none" w:sz="0" w:space="0" w:color="auto"/>
        <w:bottom w:val="none" w:sz="0" w:space="0" w:color="auto"/>
        <w:right w:val="none" w:sz="0" w:space="0" w:color="auto"/>
      </w:divBdr>
    </w:div>
    <w:div w:id="476193645">
      <w:bodyDiv w:val="1"/>
      <w:marLeft w:val="0"/>
      <w:marRight w:val="0"/>
      <w:marTop w:val="0"/>
      <w:marBottom w:val="0"/>
      <w:divBdr>
        <w:top w:val="none" w:sz="0" w:space="0" w:color="auto"/>
        <w:left w:val="none" w:sz="0" w:space="0" w:color="auto"/>
        <w:bottom w:val="none" w:sz="0" w:space="0" w:color="auto"/>
        <w:right w:val="none" w:sz="0" w:space="0" w:color="auto"/>
      </w:divBdr>
    </w:div>
    <w:div w:id="478884239">
      <w:bodyDiv w:val="1"/>
      <w:marLeft w:val="0"/>
      <w:marRight w:val="0"/>
      <w:marTop w:val="0"/>
      <w:marBottom w:val="0"/>
      <w:divBdr>
        <w:top w:val="none" w:sz="0" w:space="0" w:color="auto"/>
        <w:left w:val="none" w:sz="0" w:space="0" w:color="auto"/>
        <w:bottom w:val="none" w:sz="0" w:space="0" w:color="auto"/>
        <w:right w:val="none" w:sz="0" w:space="0" w:color="auto"/>
      </w:divBdr>
    </w:div>
    <w:div w:id="480772285">
      <w:bodyDiv w:val="1"/>
      <w:marLeft w:val="0"/>
      <w:marRight w:val="0"/>
      <w:marTop w:val="0"/>
      <w:marBottom w:val="0"/>
      <w:divBdr>
        <w:top w:val="none" w:sz="0" w:space="0" w:color="auto"/>
        <w:left w:val="none" w:sz="0" w:space="0" w:color="auto"/>
        <w:bottom w:val="none" w:sz="0" w:space="0" w:color="auto"/>
        <w:right w:val="none" w:sz="0" w:space="0" w:color="auto"/>
      </w:divBdr>
    </w:div>
    <w:div w:id="482889578">
      <w:bodyDiv w:val="1"/>
      <w:marLeft w:val="0"/>
      <w:marRight w:val="0"/>
      <w:marTop w:val="0"/>
      <w:marBottom w:val="0"/>
      <w:divBdr>
        <w:top w:val="none" w:sz="0" w:space="0" w:color="auto"/>
        <w:left w:val="none" w:sz="0" w:space="0" w:color="auto"/>
        <w:bottom w:val="none" w:sz="0" w:space="0" w:color="auto"/>
        <w:right w:val="none" w:sz="0" w:space="0" w:color="auto"/>
      </w:divBdr>
    </w:div>
    <w:div w:id="486825354">
      <w:bodyDiv w:val="1"/>
      <w:marLeft w:val="0"/>
      <w:marRight w:val="0"/>
      <w:marTop w:val="0"/>
      <w:marBottom w:val="0"/>
      <w:divBdr>
        <w:top w:val="none" w:sz="0" w:space="0" w:color="auto"/>
        <w:left w:val="none" w:sz="0" w:space="0" w:color="auto"/>
        <w:bottom w:val="none" w:sz="0" w:space="0" w:color="auto"/>
        <w:right w:val="none" w:sz="0" w:space="0" w:color="auto"/>
      </w:divBdr>
    </w:div>
    <w:div w:id="490561094">
      <w:bodyDiv w:val="1"/>
      <w:marLeft w:val="0"/>
      <w:marRight w:val="0"/>
      <w:marTop w:val="0"/>
      <w:marBottom w:val="0"/>
      <w:divBdr>
        <w:top w:val="none" w:sz="0" w:space="0" w:color="auto"/>
        <w:left w:val="none" w:sz="0" w:space="0" w:color="auto"/>
        <w:bottom w:val="none" w:sz="0" w:space="0" w:color="auto"/>
        <w:right w:val="none" w:sz="0" w:space="0" w:color="auto"/>
      </w:divBdr>
    </w:div>
    <w:div w:id="502822033">
      <w:bodyDiv w:val="1"/>
      <w:marLeft w:val="0"/>
      <w:marRight w:val="0"/>
      <w:marTop w:val="0"/>
      <w:marBottom w:val="0"/>
      <w:divBdr>
        <w:top w:val="none" w:sz="0" w:space="0" w:color="auto"/>
        <w:left w:val="none" w:sz="0" w:space="0" w:color="auto"/>
        <w:bottom w:val="none" w:sz="0" w:space="0" w:color="auto"/>
        <w:right w:val="none" w:sz="0" w:space="0" w:color="auto"/>
      </w:divBdr>
    </w:div>
    <w:div w:id="508175714">
      <w:bodyDiv w:val="1"/>
      <w:marLeft w:val="0"/>
      <w:marRight w:val="0"/>
      <w:marTop w:val="0"/>
      <w:marBottom w:val="0"/>
      <w:divBdr>
        <w:top w:val="none" w:sz="0" w:space="0" w:color="auto"/>
        <w:left w:val="none" w:sz="0" w:space="0" w:color="auto"/>
        <w:bottom w:val="none" w:sz="0" w:space="0" w:color="auto"/>
        <w:right w:val="none" w:sz="0" w:space="0" w:color="auto"/>
      </w:divBdr>
    </w:div>
    <w:div w:id="515774211">
      <w:bodyDiv w:val="1"/>
      <w:marLeft w:val="0"/>
      <w:marRight w:val="0"/>
      <w:marTop w:val="0"/>
      <w:marBottom w:val="0"/>
      <w:divBdr>
        <w:top w:val="none" w:sz="0" w:space="0" w:color="auto"/>
        <w:left w:val="none" w:sz="0" w:space="0" w:color="auto"/>
        <w:bottom w:val="none" w:sz="0" w:space="0" w:color="auto"/>
        <w:right w:val="none" w:sz="0" w:space="0" w:color="auto"/>
      </w:divBdr>
    </w:div>
    <w:div w:id="525405087">
      <w:bodyDiv w:val="1"/>
      <w:marLeft w:val="0"/>
      <w:marRight w:val="0"/>
      <w:marTop w:val="0"/>
      <w:marBottom w:val="0"/>
      <w:divBdr>
        <w:top w:val="none" w:sz="0" w:space="0" w:color="auto"/>
        <w:left w:val="none" w:sz="0" w:space="0" w:color="auto"/>
        <w:bottom w:val="none" w:sz="0" w:space="0" w:color="auto"/>
        <w:right w:val="none" w:sz="0" w:space="0" w:color="auto"/>
      </w:divBdr>
    </w:div>
    <w:div w:id="531306094">
      <w:bodyDiv w:val="1"/>
      <w:marLeft w:val="0"/>
      <w:marRight w:val="0"/>
      <w:marTop w:val="0"/>
      <w:marBottom w:val="0"/>
      <w:divBdr>
        <w:top w:val="none" w:sz="0" w:space="0" w:color="auto"/>
        <w:left w:val="none" w:sz="0" w:space="0" w:color="auto"/>
        <w:bottom w:val="none" w:sz="0" w:space="0" w:color="auto"/>
        <w:right w:val="none" w:sz="0" w:space="0" w:color="auto"/>
      </w:divBdr>
    </w:div>
    <w:div w:id="536544836">
      <w:bodyDiv w:val="1"/>
      <w:marLeft w:val="0"/>
      <w:marRight w:val="0"/>
      <w:marTop w:val="0"/>
      <w:marBottom w:val="0"/>
      <w:divBdr>
        <w:top w:val="none" w:sz="0" w:space="0" w:color="auto"/>
        <w:left w:val="none" w:sz="0" w:space="0" w:color="auto"/>
        <w:bottom w:val="none" w:sz="0" w:space="0" w:color="auto"/>
        <w:right w:val="none" w:sz="0" w:space="0" w:color="auto"/>
      </w:divBdr>
    </w:div>
    <w:div w:id="566646427">
      <w:bodyDiv w:val="1"/>
      <w:marLeft w:val="0"/>
      <w:marRight w:val="0"/>
      <w:marTop w:val="0"/>
      <w:marBottom w:val="0"/>
      <w:divBdr>
        <w:top w:val="none" w:sz="0" w:space="0" w:color="auto"/>
        <w:left w:val="none" w:sz="0" w:space="0" w:color="auto"/>
        <w:bottom w:val="none" w:sz="0" w:space="0" w:color="auto"/>
        <w:right w:val="none" w:sz="0" w:space="0" w:color="auto"/>
      </w:divBdr>
    </w:div>
    <w:div w:id="569771493">
      <w:bodyDiv w:val="1"/>
      <w:marLeft w:val="0"/>
      <w:marRight w:val="0"/>
      <w:marTop w:val="0"/>
      <w:marBottom w:val="0"/>
      <w:divBdr>
        <w:top w:val="none" w:sz="0" w:space="0" w:color="auto"/>
        <w:left w:val="none" w:sz="0" w:space="0" w:color="auto"/>
        <w:bottom w:val="none" w:sz="0" w:space="0" w:color="auto"/>
        <w:right w:val="none" w:sz="0" w:space="0" w:color="auto"/>
      </w:divBdr>
    </w:div>
    <w:div w:id="572588596">
      <w:bodyDiv w:val="1"/>
      <w:marLeft w:val="0"/>
      <w:marRight w:val="0"/>
      <w:marTop w:val="0"/>
      <w:marBottom w:val="0"/>
      <w:divBdr>
        <w:top w:val="none" w:sz="0" w:space="0" w:color="auto"/>
        <w:left w:val="none" w:sz="0" w:space="0" w:color="auto"/>
        <w:bottom w:val="none" w:sz="0" w:space="0" w:color="auto"/>
        <w:right w:val="none" w:sz="0" w:space="0" w:color="auto"/>
      </w:divBdr>
    </w:div>
    <w:div w:id="575358313">
      <w:bodyDiv w:val="1"/>
      <w:marLeft w:val="0"/>
      <w:marRight w:val="0"/>
      <w:marTop w:val="0"/>
      <w:marBottom w:val="0"/>
      <w:divBdr>
        <w:top w:val="none" w:sz="0" w:space="0" w:color="auto"/>
        <w:left w:val="none" w:sz="0" w:space="0" w:color="auto"/>
        <w:bottom w:val="none" w:sz="0" w:space="0" w:color="auto"/>
        <w:right w:val="none" w:sz="0" w:space="0" w:color="auto"/>
      </w:divBdr>
    </w:div>
    <w:div w:id="578297719">
      <w:bodyDiv w:val="1"/>
      <w:marLeft w:val="0"/>
      <w:marRight w:val="0"/>
      <w:marTop w:val="0"/>
      <w:marBottom w:val="0"/>
      <w:divBdr>
        <w:top w:val="none" w:sz="0" w:space="0" w:color="auto"/>
        <w:left w:val="none" w:sz="0" w:space="0" w:color="auto"/>
        <w:bottom w:val="none" w:sz="0" w:space="0" w:color="auto"/>
        <w:right w:val="none" w:sz="0" w:space="0" w:color="auto"/>
      </w:divBdr>
    </w:div>
    <w:div w:id="582957769">
      <w:bodyDiv w:val="1"/>
      <w:marLeft w:val="0"/>
      <w:marRight w:val="0"/>
      <w:marTop w:val="0"/>
      <w:marBottom w:val="0"/>
      <w:divBdr>
        <w:top w:val="none" w:sz="0" w:space="0" w:color="auto"/>
        <w:left w:val="none" w:sz="0" w:space="0" w:color="auto"/>
        <w:bottom w:val="none" w:sz="0" w:space="0" w:color="auto"/>
        <w:right w:val="none" w:sz="0" w:space="0" w:color="auto"/>
      </w:divBdr>
    </w:div>
    <w:div w:id="584653075">
      <w:bodyDiv w:val="1"/>
      <w:marLeft w:val="0"/>
      <w:marRight w:val="0"/>
      <w:marTop w:val="0"/>
      <w:marBottom w:val="0"/>
      <w:divBdr>
        <w:top w:val="none" w:sz="0" w:space="0" w:color="auto"/>
        <w:left w:val="none" w:sz="0" w:space="0" w:color="auto"/>
        <w:bottom w:val="none" w:sz="0" w:space="0" w:color="auto"/>
        <w:right w:val="none" w:sz="0" w:space="0" w:color="auto"/>
      </w:divBdr>
    </w:div>
    <w:div w:id="586621439">
      <w:bodyDiv w:val="1"/>
      <w:marLeft w:val="0"/>
      <w:marRight w:val="0"/>
      <w:marTop w:val="0"/>
      <w:marBottom w:val="0"/>
      <w:divBdr>
        <w:top w:val="none" w:sz="0" w:space="0" w:color="auto"/>
        <w:left w:val="none" w:sz="0" w:space="0" w:color="auto"/>
        <w:bottom w:val="none" w:sz="0" w:space="0" w:color="auto"/>
        <w:right w:val="none" w:sz="0" w:space="0" w:color="auto"/>
      </w:divBdr>
    </w:div>
    <w:div w:id="601113060">
      <w:bodyDiv w:val="1"/>
      <w:marLeft w:val="0"/>
      <w:marRight w:val="0"/>
      <w:marTop w:val="0"/>
      <w:marBottom w:val="0"/>
      <w:divBdr>
        <w:top w:val="none" w:sz="0" w:space="0" w:color="auto"/>
        <w:left w:val="none" w:sz="0" w:space="0" w:color="auto"/>
        <w:bottom w:val="none" w:sz="0" w:space="0" w:color="auto"/>
        <w:right w:val="none" w:sz="0" w:space="0" w:color="auto"/>
      </w:divBdr>
    </w:div>
    <w:div w:id="614211820">
      <w:bodyDiv w:val="1"/>
      <w:marLeft w:val="0"/>
      <w:marRight w:val="0"/>
      <w:marTop w:val="0"/>
      <w:marBottom w:val="0"/>
      <w:divBdr>
        <w:top w:val="none" w:sz="0" w:space="0" w:color="auto"/>
        <w:left w:val="none" w:sz="0" w:space="0" w:color="auto"/>
        <w:bottom w:val="none" w:sz="0" w:space="0" w:color="auto"/>
        <w:right w:val="none" w:sz="0" w:space="0" w:color="auto"/>
      </w:divBdr>
    </w:div>
    <w:div w:id="619342823">
      <w:bodyDiv w:val="1"/>
      <w:marLeft w:val="0"/>
      <w:marRight w:val="0"/>
      <w:marTop w:val="0"/>
      <w:marBottom w:val="0"/>
      <w:divBdr>
        <w:top w:val="none" w:sz="0" w:space="0" w:color="auto"/>
        <w:left w:val="none" w:sz="0" w:space="0" w:color="auto"/>
        <w:bottom w:val="none" w:sz="0" w:space="0" w:color="auto"/>
        <w:right w:val="none" w:sz="0" w:space="0" w:color="auto"/>
      </w:divBdr>
    </w:div>
    <w:div w:id="621426701">
      <w:bodyDiv w:val="1"/>
      <w:marLeft w:val="0"/>
      <w:marRight w:val="0"/>
      <w:marTop w:val="0"/>
      <w:marBottom w:val="0"/>
      <w:divBdr>
        <w:top w:val="none" w:sz="0" w:space="0" w:color="auto"/>
        <w:left w:val="none" w:sz="0" w:space="0" w:color="auto"/>
        <w:bottom w:val="none" w:sz="0" w:space="0" w:color="auto"/>
        <w:right w:val="none" w:sz="0" w:space="0" w:color="auto"/>
      </w:divBdr>
    </w:div>
    <w:div w:id="621545170">
      <w:bodyDiv w:val="1"/>
      <w:marLeft w:val="0"/>
      <w:marRight w:val="0"/>
      <w:marTop w:val="0"/>
      <w:marBottom w:val="0"/>
      <w:divBdr>
        <w:top w:val="none" w:sz="0" w:space="0" w:color="auto"/>
        <w:left w:val="none" w:sz="0" w:space="0" w:color="auto"/>
        <w:bottom w:val="none" w:sz="0" w:space="0" w:color="auto"/>
        <w:right w:val="none" w:sz="0" w:space="0" w:color="auto"/>
      </w:divBdr>
    </w:div>
    <w:div w:id="622083198">
      <w:bodyDiv w:val="1"/>
      <w:marLeft w:val="0"/>
      <w:marRight w:val="0"/>
      <w:marTop w:val="0"/>
      <w:marBottom w:val="0"/>
      <w:divBdr>
        <w:top w:val="none" w:sz="0" w:space="0" w:color="auto"/>
        <w:left w:val="none" w:sz="0" w:space="0" w:color="auto"/>
        <w:bottom w:val="none" w:sz="0" w:space="0" w:color="auto"/>
        <w:right w:val="none" w:sz="0" w:space="0" w:color="auto"/>
      </w:divBdr>
    </w:div>
    <w:div w:id="622229095">
      <w:bodyDiv w:val="1"/>
      <w:marLeft w:val="0"/>
      <w:marRight w:val="0"/>
      <w:marTop w:val="0"/>
      <w:marBottom w:val="0"/>
      <w:divBdr>
        <w:top w:val="none" w:sz="0" w:space="0" w:color="auto"/>
        <w:left w:val="none" w:sz="0" w:space="0" w:color="auto"/>
        <w:bottom w:val="none" w:sz="0" w:space="0" w:color="auto"/>
        <w:right w:val="none" w:sz="0" w:space="0" w:color="auto"/>
      </w:divBdr>
    </w:div>
    <w:div w:id="625434617">
      <w:bodyDiv w:val="1"/>
      <w:marLeft w:val="0"/>
      <w:marRight w:val="0"/>
      <w:marTop w:val="0"/>
      <w:marBottom w:val="0"/>
      <w:divBdr>
        <w:top w:val="none" w:sz="0" w:space="0" w:color="auto"/>
        <w:left w:val="none" w:sz="0" w:space="0" w:color="auto"/>
        <w:bottom w:val="none" w:sz="0" w:space="0" w:color="auto"/>
        <w:right w:val="none" w:sz="0" w:space="0" w:color="auto"/>
      </w:divBdr>
    </w:div>
    <w:div w:id="626083649">
      <w:bodyDiv w:val="1"/>
      <w:marLeft w:val="0"/>
      <w:marRight w:val="0"/>
      <w:marTop w:val="0"/>
      <w:marBottom w:val="0"/>
      <w:divBdr>
        <w:top w:val="none" w:sz="0" w:space="0" w:color="auto"/>
        <w:left w:val="none" w:sz="0" w:space="0" w:color="auto"/>
        <w:bottom w:val="none" w:sz="0" w:space="0" w:color="auto"/>
        <w:right w:val="none" w:sz="0" w:space="0" w:color="auto"/>
      </w:divBdr>
    </w:div>
    <w:div w:id="634794923">
      <w:bodyDiv w:val="1"/>
      <w:marLeft w:val="0"/>
      <w:marRight w:val="0"/>
      <w:marTop w:val="0"/>
      <w:marBottom w:val="0"/>
      <w:divBdr>
        <w:top w:val="none" w:sz="0" w:space="0" w:color="auto"/>
        <w:left w:val="none" w:sz="0" w:space="0" w:color="auto"/>
        <w:bottom w:val="none" w:sz="0" w:space="0" w:color="auto"/>
        <w:right w:val="none" w:sz="0" w:space="0" w:color="auto"/>
      </w:divBdr>
    </w:div>
    <w:div w:id="636226204">
      <w:bodyDiv w:val="1"/>
      <w:marLeft w:val="0"/>
      <w:marRight w:val="0"/>
      <w:marTop w:val="0"/>
      <w:marBottom w:val="0"/>
      <w:divBdr>
        <w:top w:val="none" w:sz="0" w:space="0" w:color="auto"/>
        <w:left w:val="none" w:sz="0" w:space="0" w:color="auto"/>
        <w:bottom w:val="none" w:sz="0" w:space="0" w:color="auto"/>
        <w:right w:val="none" w:sz="0" w:space="0" w:color="auto"/>
      </w:divBdr>
    </w:div>
    <w:div w:id="639725485">
      <w:bodyDiv w:val="1"/>
      <w:marLeft w:val="0"/>
      <w:marRight w:val="0"/>
      <w:marTop w:val="0"/>
      <w:marBottom w:val="0"/>
      <w:divBdr>
        <w:top w:val="none" w:sz="0" w:space="0" w:color="auto"/>
        <w:left w:val="none" w:sz="0" w:space="0" w:color="auto"/>
        <w:bottom w:val="none" w:sz="0" w:space="0" w:color="auto"/>
        <w:right w:val="none" w:sz="0" w:space="0" w:color="auto"/>
      </w:divBdr>
    </w:div>
    <w:div w:id="650409105">
      <w:bodyDiv w:val="1"/>
      <w:marLeft w:val="0"/>
      <w:marRight w:val="0"/>
      <w:marTop w:val="0"/>
      <w:marBottom w:val="0"/>
      <w:divBdr>
        <w:top w:val="none" w:sz="0" w:space="0" w:color="auto"/>
        <w:left w:val="none" w:sz="0" w:space="0" w:color="auto"/>
        <w:bottom w:val="none" w:sz="0" w:space="0" w:color="auto"/>
        <w:right w:val="none" w:sz="0" w:space="0" w:color="auto"/>
      </w:divBdr>
    </w:div>
    <w:div w:id="650790425">
      <w:bodyDiv w:val="1"/>
      <w:marLeft w:val="0"/>
      <w:marRight w:val="0"/>
      <w:marTop w:val="0"/>
      <w:marBottom w:val="0"/>
      <w:divBdr>
        <w:top w:val="none" w:sz="0" w:space="0" w:color="auto"/>
        <w:left w:val="none" w:sz="0" w:space="0" w:color="auto"/>
        <w:bottom w:val="none" w:sz="0" w:space="0" w:color="auto"/>
        <w:right w:val="none" w:sz="0" w:space="0" w:color="auto"/>
      </w:divBdr>
    </w:div>
    <w:div w:id="653801450">
      <w:bodyDiv w:val="1"/>
      <w:marLeft w:val="0"/>
      <w:marRight w:val="0"/>
      <w:marTop w:val="0"/>
      <w:marBottom w:val="0"/>
      <w:divBdr>
        <w:top w:val="none" w:sz="0" w:space="0" w:color="auto"/>
        <w:left w:val="none" w:sz="0" w:space="0" w:color="auto"/>
        <w:bottom w:val="none" w:sz="0" w:space="0" w:color="auto"/>
        <w:right w:val="none" w:sz="0" w:space="0" w:color="auto"/>
      </w:divBdr>
    </w:div>
    <w:div w:id="658078634">
      <w:bodyDiv w:val="1"/>
      <w:marLeft w:val="0"/>
      <w:marRight w:val="0"/>
      <w:marTop w:val="0"/>
      <w:marBottom w:val="0"/>
      <w:divBdr>
        <w:top w:val="none" w:sz="0" w:space="0" w:color="auto"/>
        <w:left w:val="none" w:sz="0" w:space="0" w:color="auto"/>
        <w:bottom w:val="none" w:sz="0" w:space="0" w:color="auto"/>
        <w:right w:val="none" w:sz="0" w:space="0" w:color="auto"/>
      </w:divBdr>
    </w:div>
    <w:div w:id="658651579">
      <w:bodyDiv w:val="1"/>
      <w:marLeft w:val="0"/>
      <w:marRight w:val="0"/>
      <w:marTop w:val="0"/>
      <w:marBottom w:val="0"/>
      <w:divBdr>
        <w:top w:val="none" w:sz="0" w:space="0" w:color="auto"/>
        <w:left w:val="none" w:sz="0" w:space="0" w:color="auto"/>
        <w:bottom w:val="none" w:sz="0" w:space="0" w:color="auto"/>
        <w:right w:val="none" w:sz="0" w:space="0" w:color="auto"/>
      </w:divBdr>
    </w:div>
    <w:div w:id="663822743">
      <w:bodyDiv w:val="1"/>
      <w:marLeft w:val="0"/>
      <w:marRight w:val="0"/>
      <w:marTop w:val="0"/>
      <w:marBottom w:val="0"/>
      <w:divBdr>
        <w:top w:val="none" w:sz="0" w:space="0" w:color="auto"/>
        <w:left w:val="none" w:sz="0" w:space="0" w:color="auto"/>
        <w:bottom w:val="none" w:sz="0" w:space="0" w:color="auto"/>
        <w:right w:val="none" w:sz="0" w:space="0" w:color="auto"/>
      </w:divBdr>
    </w:div>
    <w:div w:id="669530716">
      <w:bodyDiv w:val="1"/>
      <w:marLeft w:val="0"/>
      <w:marRight w:val="0"/>
      <w:marTop w:val="0"/>
      <w:marBottom w:val="0"/>
      <w:divBdr>
        <w:top w:val="none" w:sz="0" w:space="0" w:color="auto"/>
        <w:left w:val="none" w:sz="0" w:space="0" w:color="auto"/>
        <w:bottom w:val="none" w:sz="0" w:space="0" w:color="auto"/>
        <w:right w:val="none" w:sz="0" w:space="0" w:color="auto"/>
      </w:divBdr>
    </w:div>
    <w:div w:id="677735808">
      <w:bodyDiv w:val="1"/>
      <w:marLeft w:val="0"/>
      <w:marRight w:val="0"/>
      <w:marTop w:val="0"/>
      <w:marBottom w:val="0"/>
      <w:divBdr>
        <w:top w:val="none" w:sz="0" w:space="0" w:color="auto"/>
        <w:left w:val="none" w:sz="0" w:space="0" w:color="auto"/>
        <w:bottom w:val="none" w:sz="0" w:space="0" w:color="auto"/>
        <w:right w:val="none" w:sz="0" w:space="0" w:color="auto"/>
      </w:divBdr>
    </w:div>
    <w:div w:id="683019009">
      <w:bodyDiv w:val="1"/>
      <w:marLeft w:val="0"/>
      <w:marRight w:val="0"/>
      <w:marTop w:val="0"/>
      <w:marBottom w:val="0"/>
      <w:divBdr>
        <w:top w:val="none" w:sz="0" w:space="0" w:color="auto"/>
        <w:left w:val="none" w:sz="0" w:space="0" w:color="auto"/>
        <w:bottom w:val="none" w:sz="0" w:space="0" w:color="auto"/>
        <w:right w:val="none" w:sz="0" w:space="0" w:color="auto"/>
      </w:divBdr>
    </w:div>
    <w:div w:id="686830010">
      <w:bodyDiv w:val="1"/>
      <w:marLeft w:val="0"/>
      <w:marRight w:val="0"/>
      <w:marTop w:val="0"/>
      <w:marBottom w:val="0"/>
      <w:divBdr>
        <w:top w:val="none" w:sz="0" w:space="0" w:color="auto"/>
        <w:left w:val="none" w:sz="0" w:space="0" w:color="auto"/>
        <w:bottom w:val="none" w:sz="0" w:space="0" w:color="auto"/>
        <w:right w:val="none" w:sz="0" w:space="0" w:color="auto"/>
      </w:divBdr>
    </w:div>
    <w:div w:id="696392262">
      <w:bodyDiv w:val="1"/>
      <w:marLeft w:val="0"/>
      <w:marRight w:val="0"/>
      <w:marTop w:val="0"/>
      <w:marBottom w:val="0"/>
      <w:divBdr>
        <w:top w:val="none" w:sz="0" w:space="0" w:color="auto"/>
        <w:left w:val="none" w:sz="0" w:space="0" w:color="auto"/>
        <w:bottom w:val="none" w:sz="0" w:space="0" w:color="auto"/>
        <w:right w:val="none" w:sz="0" w:space="0" w:color="auto"/>
      </w:divBdr>
    </w:div>
    <w:div w:id="698042500">
      <w:bodyDiv w:val="1"/>
      <w:marLeft w:val="0"/>
      <w:marRight w:val="0"/>
      <w:marTop w:val="0"/>
      <w:marBottom w:val="0"/>
      <w:divBdr>
        <w:top w:val="none" w:sz="0" w:space="0" w:color="auto"/>
        <w:left w:val="none" w:sz="0" w:space="0" w:color="auto"/>
        <w:bottom w:val="none" w:sz="0" w:space="0" w:color="auto"/>
        <w:right w:val="none" w:sz="0" w:space="0" w:color="auto"/>
      </w:divBdr>
    </w:div>
    <w:div w:id="700860024">
      <w:bodyDiv w:val="1"/>
      <w:marLeft w:val="0"/>
      <w:marRight w:val="0"/>
      <w:marTop w:val="0"/>
      <w:marBottom w:val="0"/>
      <w:divBdr>
        <w:top w:val="none" w:sz="0" w:space="0" w:color="auto"/>
        <w:left w:val="none" w:sz="0" w:space="0" w:color="auto"/>
        <w:bottom w:val="none" w:sz="0" w:space="0" w:color="auto"/>
        <w:right w:val="none" w:sz="0" w:space="0" w:color="auto"/>
      </w:divBdr>
    </w:div>
    <w:div w:id="709261110">
      <w:bodyDiv w:val="1"/>
      <w:marLeft w:val="0"/>
      <w:marRight w:val="0"/>
      <w:marTop w:val="0"/>
      <w:marBottom w:val="0"/>
      <w:divBdr>
        <w:top w:val="none" w:sz="0" w:space="0" w:color="auto"/>
        <w:left w:val="none" w:sz="0" w:space="0" w:color="auto"/>
        <w:bottom w:val="none" w:sz="0" w:space="0" w:color="auto"/>
        <w:right w:val="none" w:sz="0" w:space="0" w:color="auto"/>
      </w:divBdr>
    </w:div>
    <w:div w:id="710544377">
      <w:bodyDiv w:val="1"/>
      <w:marLeft w:val="0"/>
      <w:marRight w:val="0"/>
      <w:marTop w:val="0"/>
      <w:marBottom w:val="0"/>
      <w:divBdr>
        <w:top w:val="none" w:sz="0" w:space="0" w:color="auto"/>
        <w:left w:val="none" w:sz="0" w:space="0" w:color="auto"/>
        <w:bottom w:val="none" w:sz="0" w:space="0" w:color="auto"/>
        <w:right w:val="none" w:sz="0" w:space="0" w:color="auto"/>
      </w:divBdr>
    </w:div>
    <w:div w:id="715667469">
      <w:bodyDiv w:val="1"/>
      <w:marLeft w:val="0"/>
      <w:marRight w:val="0"/>
      <w:marTop w:val="0"/>
      <w:marBottom w:val="0"/>
      <w:divBdr>
        <w:top w:val="none" w:sz="0" w:space="0" w:color="auto"/>
        <w:left w:val="none" w:sz="0" w:space="0" w:color="auto"/>
        <w:bottom w:val="none" w:sz="0" w:space="0" w:color="auto"/>
        <w:right w:val="none" w:sz="0" w:space="0" w:color="auto"/>
      </w:divBdr>
    </w:div>
    <w:div w:id="716009338">
      <w:bodyDiv w:val="1"/>
      <w:marLeft w:val="0"/>
      <w:marRight w:val="0"/>
      <w:marTop w:val="0"/>
      <w:marBottom w:val="0"/>
      <w:divBdr>
        <w:top w:val="none" w:sz="0" w:space="0" w:color="auto"/>
        <w:left w:val="none" w:sz="0" w:space="0" w:color="auto"/>
        <w:bottom w:val="none" w:sz="0" w:space="0" w:color="auto"/>
        <w:right w:val="none" w:sz="0" w:space="0" w:color="auto"/>
      </w:divBdr>
    </w:div>
    <w:div w:id="725566079">
      <w:bodyDiv w:val="1"/>
      <w:marLeft w:val="0"/>
      <w:marRight w:val="0"/>
      <w:marTop w:val="0"/>
      <w:marBottom w:val="0"/>
      <w:divBdr>
        <w:top w:val="none" w:sz="0" w:space="0" w:color="auto"/>
        <w:left w:val="none" w:sz="0" w:space="0" w:color="auto"/>
        <w:bottom w:val="none" w:sz="0" w:space="0" w:color="auto"/>
        <w:right w:val="none" w:sz="0" w:space="0" w:color="auto"/>
      </w:divBdr>
    </w:div>
    <w:div w:id="728500115">
      <w:bodyDiv w:val="1"/>
      <w:marLeft w:val="0"/>
      <w:marRight w:val="0"/>
      <w:marTop w:val="0"/>
      <w:marBottom w:val="0"/>
      <w:divBdr>
        <w:top w:val="none" w:sz="0" w:space="0" w:color="auto"/>
        <w:left w:val="none" w:sz="0" w:space="0" w:color="auto"/>
        <w:bottom w:val="none" w:sz="0" w:space="0" w:color="auto"/>
        <w:right w:val="none" w:sz="0" w:space="0" w:color="auto"/>
      </w:divBdr>
    </w:div>
    <w:div w:id="730494553">
      <w:bodyDiv w:val="1"/>
      <w:marLeft w:val="0"/>
      <w:marRight w:val="0"/>
      <w:marTop w:val="0"/>
      <w:marBottom w:val="0"/>
      <w:divBdr>
        <w:top w:val="none" w:sz="0" w:space="0" w:color="auto"/>
        <w:left w:val="none" w:sz="0" w:space="0" w:color="auto"/>
        <w:bottom w:val="none" w:sz="0" w:space="0" w:color="auto"/>
        <w:right w:val="none" w:sz="0" w:space="0" w:color="auto"/>
      </w:divBdr>
    </w:div>
    <w:div w:id="730495983">
      <w:bodyDiv w:val="1"/>
      <w:marLeft w:val="0"/>
      <w:marRight w:val="0"/>
      <w:marTop w:val="0"/>
      <w:marBottom w:val="0"/>
      <w:divBdr>
        <w:top w:val="none" w:sz="0" w:space="0" w:color="auto"/>
        <w:left w:val="none" w:sz="0" w:space="0" w:color="auto"/>
        <w:bottom w:val="none" w:sz="0" w:space="0" w:color="auto"/>
        <w:right w:val="none" w:sz="0" w:space="0" w:color="auto"/>
      </w:divBdr>
    </w:div>
    <w:div w:id="734014980">
      <w:bodyDiv w:val="1"/>
      <w:marLeft w:val="0"/>
      <w:marRight w:val="0"/>
      <w:marTop w:val="0"/>
      <w:marBottom w:val="0"/>
      <w:divBdr>
        <w:top w:val="none" w:sz="0" w:space="0" w:color="auto"/>
        <w:left w:val="none" w:sz="0" w:space="0" w:color="auto"/>
        <w:bottom w:val="none" w:sz="0" w:space="0" w:color="auto"/>
        <w:right w:val="none" w:sz="0" w:space="0" w:color="auto"/>
      </w:divBdr>
    </w:div>
    <w:div w:id="736821879">
      <w:bodyDiv w:val="1"/>
      <w:marLeft w:val="0"/>
      <w:marRight w:val="0"/>
      <w:marTop w:val="0"/>
      <w:marBottom w:val="0"/>
      <w:divBdr>
        <w:top w:val="none" w:sz="0" w:space="0" w:color="auto"/>
        <w:left w:val="none" w:sz="0" w:space="0" w:color="auto"/>
        <w:bottom w:val="none" w:sz="0" w:space="0" w:color="auto"/>
        <w:right w:val="none" w:sz="0" w:space="0" w:color="auto"/>
      </w:divBdr>
    </w:div>
    <w:div w:id="737091859">
      <w:bodyDiv w:val="1"/>
      <w:marLeft w:val="0"/>
      <w:marRight w:val="0"/>
      <w:marTop w:val="0"/>
      <w:marBottom w:val="0"/>
      <w:divBdr>
        <w:top w:val="none" w:sz="0" w:space="0" w:color="auto"/>
        <w:left w:val="none" w:sz="0" w:space="0" w:color="auto"/>
        <w:bottom w:val="none" w:sz="0" w:space="0" w:color="auto"/>
        <w:right w:val="none" w:sz="0" w:space="0" w:color="auto"/>
      </w:divBdr>
    </w:div>
    <w:div w:id="738988045">
      <w:bodyDiv w:val="1"/>
      <w:marLeft w:val="0"/>
      <w:marRight w:val="0"/>
      <w:marTop w:val="0"/>
      <w:marBottom w:val="0"/>
      <w:divBdr>
        <w:top w:val="none" w:sz="0" w:space="0" w:color="auto"/>
        <w:left w:val="none" w:sz="0" w:space="0" w:color="auto"/>
        <w:bottom w:val="none" w:sz="0" w:space="0" w:color="auto"/>
        <w:right w:val="none" w:sz="0" w:space="0" w:color="auto"/>
      </w:divBdr>
    </w:div>
    <w:div w:id="739135949">
      <w:bodyDiv w:val="1"/>
      <w:marLeft w:val="0"/>
      <w:marRight w:val="0"/>
      <w:marTop w:val="0"/>
      <w:marBottom w:val="0"/>
      <w:divBdr>
        <w:top w:val="none" w:sz="0" w:space="0" w:color="auto"/>
        <w:left w:val="none" w:sz="0" w:space="0" w:color="auto"/>
        <w:bottom w:val="none" w:sz="0" w:space="0" w:color="auto"/>
        <w:right w:val="none" w:sz="0" w:space="0" w:color="auto"/>
      </w:divBdr>
    </w:div>
    <w:div w:id="744837894">
      <w:bodyDiv w:val="1"/>
      <w:marLeft w:val="0"/>
      <w:marRight w:val="0"/>
      <w:marTop w:val="0"/>
      <w:marBottom w:val="0"/>
      <w:divBdr>
        <w:top w:val="none" w:sz="0" w:space="0" w:color="auto"/>
        <w:left w:val="none" w:sz="0" w:space="0" w:color="auto"/>
        <w:bottom w:val="none" w:sz="0" w:space="0" w:color="auto"/>
        <w:right w:val="none" w:sz="0" w:space="0" w:color="auto"/>
      </w:divBdr>
    </w:div>
    <w:div w:id="749354970">
      <w:bodyDiv w:val="1"/>
      <w:marLeft w:val="0"/>
      <w:marRight w:val="0"/>
      <w:marTop w:val="0"/>
      <w:marBottom w:val="0"/>
      <w:divBdr>
        <w:top w:val="none" w:sz="0" w:space="0" w:color="auto"/>
        <w:left w:val="none" w:sz="0" w:space="0" w:color="auto"/>
        <w:bottom w:val="none" w:sz="0" w:space="0" w:color="auto"/>
        <w:right w:val="none" w:sz="0" w:space="0" w:color="auto"/>
      </w:divBdr>
    </w:div>
    <w:div w:id="749617971">
      <w:bodyDiv w:val="1"/>
      <w:marLeft w:val="0"/>
      <w:marRight w:val="0"/>
      <w:marTop w:val="0"/>
      <w:marBottom w:val="0"/>
      <w:divBdr>
        <w:top w:val="none" w:sz="0" w:space="0" w:color="auto"/>
        <w:left w:val="none" w:sz="0" w:space="0" w:color="auto"/>
        <w:bottom w:val="none" w:sz="0" w:space="0" w:color="auto"/>
        <w:right w:val="none" w:sz="0" w:space="0" w:color="auto"/>
      </w:divBdr>
    </w:div>
    <w:div w:id="757334985">
      <w:bodyDiv w:val="1"/>
      <w:marLeft w:val="0"/>
      <w:marRight w:val="0"/>
      <w:marTop w:val="0"/>
      <w:marBottom w:val="0"/>
      <w:divBdr>
        <w:top w:val="none" w:sz="0" w:space="0" w:color="auto"/>
        <w:left w:val="none" w:sz="0" w:space="0" w:color="auto"/>
        <w:bottom w:val="none" w:sz="0" w:space="0" w:color="auto"/>
        <w:right w:val="none" w:sz="0" w:space="0" w:color="auto"/>
      </w:divBdr>
    </w:div>
    <w:div w:id="760561491">
      <w:bodyDiv w:val="1"/>
      <w:marLeft w:val="0"/>
      <w:marRight w:val="0"/>
      <w:marTop w:val="0"/>
      <w:marBottom w:val="0"/>
      <w:divBdr>
        <w:top w:val="none" w:sz="0" w:space="0" w:color="auto"/>
        <w:left w:val="none" w:sz="0" w:space="0" w:color="auto"/>
        <w:bottom w:val="none" w:sz="0" w:space="0" w:color="auto"/>
        <w:right w:val="none" w:sz="0" w:space="0" w:color="auto"/>
      </w:divBdr>
    </w:div>
    <w:div w:id="761217209">
      <w:bodyDiv w:val="1"/>
      <w:marLeft w:val="0"/>
      <w:marRight w:val="0"/>
      <w:marTop w:val="0"/>
      <w:marBottom w:val="0"/>
      <w:divBdr>
        <w:top w:val="none" w:sz="0" w:space="0" w:color="auto"/>
        <w:left w:val="none" w:sz="0" w:space="0" w:color="auto"/>
        <w:bottom w:val="none" w:sz="0" w:space="0" w:color="auto"/>
        <w:right w:val="none" w:sz="0" w:space="0" w:color="auto"/>
      </w:divBdr>
    </w:div>
    <w:div w:id="761296155">
      <w:bodyDiv w:val="1"/>
      <w:marLeft w:val="0"/>
      <w:marRight w:val="0"/>
      <w:marTop w:val="0"/>
      <w:marBottom w:val="0"/>
      <w:divBdr>
        <w:top w:val="none" w:sz="0" w:space="0" w:color="auto"/>
        <w:left w:val="none" w:sz="0" w:space="0" w:color="auto"/>
        <w:bottom w:val="none" w:sz="0" w:space="0" w:color="auto"/>
        <w:right w:val="none" w:sz="0" w:space="0" w:color="auto"/>
      </w:divBdr>
    </w:div>
    <w:div w:id="761679310">
      <w:bodyDiv w:val="1"/>
      <w:marLeft w:val="0"/>
      <w:marRight w:val="0"/>
      <w:marTop w:val="0"/>
      <w:marBottom w:val="0"/>
      <w:divBdr>
        <w:top w:val="none" w:sz="0" w:space="0" w:color="auto"/>
        <w:left w:val="none" w:sz="0" w:space="0" w:color="auto"/>
        <w:bottom w:val="none" w:sz="0" w:space="0" w:color="auto"/>
        <w:right w:val="none" w:sz="0" w:space="0" w:color="auto"/>
      </w:divBdr>
    </w:div>
    <w:div w:id="769397899">
      <w:bodyDiv w:val="1"/>
      <w:marLeft w:val="0"/>
      <w:marRight w:val="0"/>
      <w:marTop w:val="0"/>
      <w:marBottom w:val="0"/>
      <w:divBdr>
        <w:top w:val="none" w:sz="0" w:space="0" w:color="auto"/>
        <w:left w:val="none" w:sz="0" w:space="0" w:color="auto"/>
        <w:bottom w:val="none" w:sz="0" w:space="0" w:color="auto"/>
        <w:right w:val="none" w:sz="0" w:space="0" w:color="auto"/>
      </w:divBdr>
    </w:div>
    <w:div w:id="770974846">
      <w:bodyDiv w:val="1"/>
      <w:marLeft w:val="0"/>
      <w:marRight w:val="0"/>
      <w:marTop w:val="0"/>
      <w:marBottom w:val="0"/>
      <w:divBdr>
        <w:top w:val="none" w:sz="0" w:space="0" w:color="auto"/>
        <w:left w:val="none" w:sz="0" w:space="0" w:color="auto"/>
        <w:bottom w:val="none" w:sz="0" w:space="0" w:color="auto"/>
        <w:right w:val="none" w:sz="0" w:space="0" w:color="auto"/>
      </w:divBdr>
    </w:div>
    <w:div w:id="772551192">
      <w:bodyDiv w:val="1"/>
      <w:marLeft w:val="0"/>
      <w:marRight w:val="0"/>
      <w:marTop w:val="0"/>
      <w:marBottom w:val="0"/>
      <w:divBdr>
        <w:top w:val="none" w:sz="0" w:space="0" w:color="auto"/>
        <w:left w:val="none" w:sz="0" w:space="0" w:color="auto"/>
        <w:bottom w:val="none" w:sz="0" w:space="0" w:color="auto"/>
        <w:right w:val="none" w:sz="0" w:space="0" w:color="auto"/>
      </w:divBdr>
    </w:div>
    <w:div w:id="781537480">
      <w:bodyDiv w:val="1"/>
      <w:marLeft w:val="0"/>
      <w:marRight w:val="0"/>
      <w:marTop w:val="0"/>
      <w:marBottom w:val="0"/>
      <w:divBdr>
        <w:top w:val="none" w:sz="0" w:space="0" w:color="auto"/>
        <w:left w:val="none" w:sz="0" w:space="0" w:color="auto"/>
        <w:bottom w:val="none" w:sz="0" w:space="0" w:color="auto"/>
        <w:right w:val="none" w:sz="0" w:space="0" w:color="auto"/>
      </w:divBdr>
    </w:div>
    <w:div w:id="789204215">
      <w:bodyDiv w:val="1"/>
      <w:marLeft w:val="0"/>
      <w:marRight w:val="0"/>
      <w:marTop w:val="0"/>
      <w:marBottom w:val="0"/>
      <w:divBdr>
        <w:top w:val="none" w:sz="0" w:space="0" w:color="auto"/>
        <w:left w:val="none" w:sz="0" w:space="0" w:color="auto"/>
        <w:bottom w:val="none" w:sz="0" w:space="0" w:color="auto"/>
        <w:right w:val="none" w:sz="0" w:space="0" w:color="auto"/>
      </w:divBdr>
    </w:div>
    <w:div w:id="795756621">
      <w:bodyDiv w:val="1"/>
      <w:marLeft w:val="0"/>
      <w:marRight w:val="0"/>
      <w:marTop w:val="0"/>
      <w:marBottom w:val="0"/>
      <w:divBdr>
        <w:top w:val="none" w:sz="0" w:space="0" w:color="auto"/>
        <w:left w:val="none" w:sz="0" w:space="0" w:color="auto"/>
        <w:bottom w:val="none" w:sz="0" w:space="0" w:color="auto"/>
        <w:right w:val="none" w:sz="0" w:space="0" w:color="auto"/>
      </w:divBdr>
    </w:div>
    <w:div w:id="797141725">
      <w:bodyDiv w:val="1"/>
      <w:marLeft w:val="0"/>
      <w:marRight w:val="0"/>
      <w:marTop w:val="0"/>
      <w:marBottom w:val="0"/>
      <w:divBdr>
        <w:top w:val="none" w:sz="0" w:space="0" w:color="auto"/>
        <w:left w:val="none" w:sz="0" w:space="0" w:color="auto"/>
        <w:bottom w:val="none" w:sz="0" w:space="0" w:color="auto"/>
        <w:right w:val="none" w:sz="0" w:space="0" w:color="auto"/>
      </w:divBdr>
    </w:div>
    <w:div w:id="797187443">
      <w:bodyDiv w:val="1"/>
      <w:marLeft w:val="0"/>
      <w:marRight w:val="0"/>
      <w:marTop w:val="0"/>
      <w:marBottom w:val="0"/>
      <w:divBdr>
        <w:top w:val="none" w:sz="0" w:space="0" w:color="auto"/>
        <w:left w:val="none" w:sz="0" w:space="0" w:color="auto"/>
        <w:bottom w:val="none" w:sz="0" w:space="0" w:color="auto"/>
        <w:right w:val="none" w:sz="0" w:space="0" w:color="auto"/>
      </w:divBdr>
    </w:div>
    <w:div w:id="798769654">
      <w:bodyDiv w:val="1"/>
      <w:marLeft w:val="0"/>
      <w:marRight w:val="0"/>
      <w:marTop w:val="0"/>
      <w:marBottom w:val="0"/>
      <w:divBdr>
        <w:top w:val="none" w:sz="0" w:space="0" w:color="auto"/>
        <w:left w:val="none" w:sz="0" w:space="0" w:color="auto"/>
        <w:bottom w:val="none" w:sz="0" w:space="0" w:color="auto"/>
        <w:right w:val="none" w:sz="0" w:space="0" w:color="auto"/>
      </w:divBdr>
    </w:div>
    <w:div w:id="799422907">
      <w:bodyDiv w:val="1"/>
      <w:marLeft w:val="0"/>
      <w:marRight w:val="0"/>
      <w:marTop w:val="0"/>
      <w:marBottom w:val="0"/>
      <w:divBdr>
        <w:top w:val="none" w:sz="0" w:space="0" w:color="auto"/>
        <w:left w:val="none" w:sz="0" w:space="0" w:color="auto"/>
        <w:bottom w:val="none" w:sz="0" w:space="0" w:color="auto"/>
        <w:right w:val="none" w:sz="0" w:space="0" w:color="auto"/>
      </w:divBdr>
    </w:div>
    <w:div w:id="802116275">
      <w:bodyDiv w:val="1"/>
      <w:marLeft w:val="0"/>
      <w:marRight w:val="0"/>
      <w:marTop w:val="0"/>
      <w:marBottom w:val="0"/>
      <w:divBdr>
        <w:top w:val="none" w:sz="0" w:space="0" w:color="auto"/>
        <w:left w:val="none" w:sz="0" w:space="0" w:color="auto"/>
        <w:bottom w:val="none" w:sz="0" w:space="0" w:color="auto"/>
        <w:right w:val="none" w:sz="0" w:space="0" w:color="auto"/>
      </w:divBdr>
    </w:div>
    <w:div w:id="802650847">
      <w:bodyDiv w:val="1"/>
      <w:marLeft w:val="0"/>
      <w:marRight w:val="0"/>
      <w:marTop w:val="0"/>
      <w:marBottom w:val="0"/>
      <w:divBdr>
        <w:top w:val="none" w:sz="0" w:space="0" w:color="auto"/>
        <w:left w:val="none" w:sz="0" w:space="0" w:color="auto"/>
        <w:bottom w:val="none" w:sz="0" w:space="0" w:color="auto"/>
        <w:right w:val="none" w:sz="0" w:space="0" w:color="auto"/>
      </w:divBdr>
    </w:div>
    <w:div w:id="809441660">
      <w:bodyDiv w:val="1"/>
      <w:marLeft w:val="0"/>
      <w:marRight w:val="0"/>
      <w:marTop w:val="0"/>
      <w:marBottom w:val="0"/>
      <w:divBdr>
        <w:top w:val="none" w:sz="0" w:space="0" w:color="auto"/>
        <w:left w:val="none" w:sz="0" w:space="0" w:color="auto"/>
        <w:bottom w:val="none" w:sz="0" w:space="0" w:color="auto"/>
        <w:right w:val="none" w:sz="0" w:space="0" w:color="auto"/>
      </w:divBdr>
    </w:div>
    <w:div w:id="809900023">
      <w:bodyDiv w:val="1"/>
      <w:marLeft w:val="0"/>
      <w:marRight w:val="0"/>
      <w:marTop w:val="0"/>
      <w:marBottom w:val="0"/>
      <w:divBdr>
        <w:top w:val="none" w:sz="0" w:space="0" w:color="auto"/>
        <w:left w:val="none" w:sz="0" w:space="0" w:color="auto"/>
        <w:bottom w:val="none" w:sz="0" w:space="0" w:color="auto"/>
        <w:right w:val="none" w:sz="0" w:space="0" w:color="auto"/>
      </w:divBdr>
    </w:div>
    <w:div w:id="810250882">
      <w:bodyDiv w:val="1"/>
      <w:marLeft w:val="0"/>
      <w:marRight w:val="0"/>
      <w:marTop w:val="0"/>
      <w:marBottom w:val="0"/>
      <w:divBdr>
        <w:top w:val="none" w:sz="0" w:space="0" w:color="auto"/>
        <w:left w:val="none" w:sz="0" w:space="0" w:color="auto"/>
        <w:bottom w:val="none" w:sz="0" w:space="0" w:color="auto"/>
        <w:right w:val="none" w:sz="0" w:space="0" w:color="auto"/>
      </w:divBdr>
    </w:div>
    <w:div w:id="811092857">
      <w:bodyDiv w:val="1"/>
      <w:marLeft w:val="0"/>
      <w:marRight w:val="0"/>
      <w:marTop w:val="0"/>
      <w:marBottom w:val="0"/>
      <w:divBdr>
        <w:top w:val="none" w:sz="0" w:space="0" w:color="auto"/>
        <w:left w:val="none" w:sz="0" w:space="0" w:color="auto"/>
        <w:bottom w:val="none" w:sz="0" w:space="0" w:color="auto"/>
        <w:right w:val="none" w:sz="0" w:space="0" w:color="auto"/>
      </w:divBdr>
    </w:div>
    <w:div w:id="827748579">
      <w:bodyDiv w:val="1"/>
      <w:marLeft w:val="0"/>
      <w:marRight w:val="0"/>
      <w:marTop w:val="0"/>
      <w:marBottom w:val="0"/>
      <w:divBdr>
        <w:top w:val="none" w:sz="0" w:space="0" w:color="auto"/>
        <w:left w:val="none" w:sz="0" w:space="0" w:color="auto"/>
        <w:bottom w:val="none" w:sz="0" w:space="0" w:color="auto"/>
        <w:right w:val="none" w:sz="0" w:space="0" w:color="auto"/>
      </w:divBdr>
    </w:div>
    <w:div w:id="828178715">
      <w:bodyDiv w:val="1"/>
      <w:marLeft w:val="0"/>
      <w:marRight w:val="0"/>
      <w:marTop w:val="0"/>
      <w:marBottom w:val="0"/>
      <w:divBdr>
        <w:top w:val="none" w:sz="0" w:space="0" w:color="auto"/>
        <w:left w:val="none" w:sz="0" w:space="0" w:color="auto"/>
        <w:bottom w:val="none" w:sz="0" w:space="0" w:color="auto"/>
        <w:right w:val="none" w:sz="0" w:space="0" w:color="auto"/>
      </w:divBdr>
    </w:div>
    <w:div w:id="828836538">
      <w:bodyDiv w:val="1"/>
      <w:marLeft w:val="0"/>
      <w:marRight w:val="0"/>
      <w:marTop w:val="0"/>
      <w:marBottom w:val="0"/>
      <w:divBdr>
        <w:top w:val="none" w:sz="0" w:space="0" w:color="auto"/>
        <w:left w:val="none" w:sz="0" w:space="0" w:color="auto"/>
        <w:bottom w:val="none" w:sz="0" w:space="0" w:color="auto"/>
        <w:right w:val="none" w:sz="0" w:space="0" w:color="auto"/>
      </w:divBdr>
    </w:div>
    <w:div w:id="832528883">
      <w:bodyDiv w:val="1"/>
      <w:marLeft w:val="0"/>
      <w:marRight w:val="0"/>
      <w:marTop w:val="0"/>
      <w:marBottom w:val="0"/>
      <w:divBdr>
        <w:top w:val="none" w:sz="0" w:space="0" w:color="auto"/>
        <w:left w:val="none" w:sz="0" w:space="0" w:color="auto"/>
        <w:bottom w:val="none" w:sz="0" w:space="0" w:color="auto"/>
        <w:right w:val="none" w:sz="0" w:space="0" w:color="auto"/>
      </w:divBdr>
    </w:div>
    <w:div w:id="836578932">
      <w:bodyDiv w:val="1"/>
      <w:marLeft w:val="0"/>
      <w:marRight w:val="0"/>
      <w:marTop w:val="0"/>
      <w:marBottom w:val="0"/>
      <w:divBdr>
        <w:top w:val="none" w:sz="0" w:space="0" w:color="auto"/>
        <w:left w:val="none" w:sz="0" w:space="0" w:color="auto"/>
        <w:bottom w:val="none" w:sz="0" w:space="0" w:color="auto"/>
        <w:right w:val="none" w:sz="0" w:space="0" w:color="auto"/>
      </w:divBdr>
    </w:div>
    <w:div w:id="837312050">
      <w:bodyDiv w:val="1"/>
      <w:marLeft w:val="0"/>
      <w:marRight w:val="0"/>
      <w:marTop w:val="0"/>
      <w:marBottom w:val="0"/>
      <w:divBdr>
        <w:top w:val="none" w:sz="0" w:space="0" w:color="auto"/>
        <w:left w:val="none" w:sz="0" w:space="0" w:color="auto"/>
        <w:bottom w:val="none" w:sz="0" w:space="0" w:color="auto"/>
        <w:right w:val="none" w:sz="0" w:space="0" w:color="auto"/>
      </w:divBdr>
    </w:div>
    <w:div w:id="840125551">
      <w:bodyDiv w:val="1"/>
      <w:marLeft w:val="0"/>
      <w:marRight w:val="0"/>
      <w:marTop w:val="0"/>
      <w:marBottom w:val="0"/>
      <w:divBdr>
        <w:top w:val="none" w:sz="0" w:space="0" w:color="auto"/>
        <w:left w:val="none" w:sz="0" w:space="0" w:color="auto"/>
        <w:bottom w:val="none" w:sz="0" w:space="0" w:color="auto"/>
        <w:right w:val="none" w:sz="0" w:space="0" w:color="auto"/>
      </w:divBdr>
    </w:div>
    <w:div w:id="848638799">
      <w:bodyDiv w:val="1"/>
      <w:marLeft w:val="0"/>
      <w:marRight w:val="0"/>
      <w:marTop w:val="0"/>
      <w:marBottom w:val="0"/>
      <w:divBdr>
        <w:top w:val="none" w:sz="0" w:space="0" w:color="auto"/>
        <w:left w:val="none" w:sz="0" w:space="0" w:color="auto"/>
        <w:bottom w:val="none" w:sz="0" w:space="0" w:color="auto"/>
        <w:right w:val="none" w:sz="0" w:space="0" w:color="auto"/>
      </w:divBdr>
    </w:div>
    <w:div w:id="861044464">
      <w:bodyDiv w:val="1"/>
      <w:marLeft w:val="0"/>
      <w:marRight w:val="0"/>
      <w:marTop w:val="0"/>
      <w:marBottom w:val="0"/>
      <w:divBdr>
        <w:top w:val="none" w:sz="0" w:space="0" w:color="auto"/>
        <w:left w:val="none" w:sz="0" w:space="0" w:color="auto"/>
        <w:bottom w:val="none" w:sz="0" w:space="0" w:color="auto"/>
        <w:right w:val="none" w:sz="0" w:space="0" w:color="auto"/>
      </w:divBdr>
    </w:div>
    <w:div w:id="873612895">
      <w:bodyDiv w:val="1"/>
      <w:marLeft w:val="0"/>
      <w:marRight w:val="0"/>
      <w:marTop w:val="0"/>
      <w:marBottom w:val="0"/>
      <w:divBdr>
        <w:top w:val="none" w:sz="0" w:space="0" w:color="auto"/>
        <w:left w:val="none" w:sz="0" w:space="0" w:color="auto"/>
        <w:bottom w:val="none" w:sz="0" w:space="0" w:color="auto"/>
        <w:right w:val="none" w:sz="0" w:space="0" w:color="auto"/>
      </w:divBdr>
    </w:div>
    <w:div w:id="876117126">
      <w:bodyDiv w:val="1"/>
      <w:marLeft w:val="0"/>
      <w:marRight w:val="0"/>
      <w:marTop w:val="0"/>
      <w:marBottom w:val="0"/>
      <w:divBdr>
        <w:top w:val="none" w:sz="0" w:space="0" w:color="auto"/>
        <w:left w:val="none" w:sz="0" w:space="0" w:color="auto"/>
        <w:bottom w:val="none" w:sz="0" w:space="0" w:color="auto"/>
        <w:right w:val="none" w:sz="0" w:space="0" w:color="auto"/>
      </w:divBdr>
    </w:div>
    <w:div w:id="882518460">
      <w:bodyDiv w:val="1"/>
      <w:marLeft w:val="0"/>
      <w:marRight w:val="0"/>
      <w:marTop w:val="0"/>
      <w:marBottom w:val="0"/>
      <w:divBdr>
        <w:top w:val="none" w:sz="0" w:space="0" w:color="auto"/>
        <w:left w:val="none" w:sz="0" w:space="0" w:color="auto"/>
        <w:bottom w:val="none" w:sz="0" w:space="0" w:color="auto"/>
        <w:right w:val="none" w:sz="0" w:space="0" w:color="auto"/>
      </w:divBdr>
    </w:div>
    <w:div w:id="884410421">
      <w:bodyDiv w:val="1"/>
      <w:marLeft w:val="0"/>
      <w:marRight w:val="0"/>
      <w:marTop w:val="0"/>
      <w:marBottom w:val="0"/>
      <w:divBdr>
        <w:top w:val="none" w:sz="0" w:space="0" w:color="auto"/>
        <w:left w:val="none" w:sz="0" w:space="0" w:color="auto"/>
        <w:bottom w:val="none" w:sz="0" w:space="0" w:color="auto"/>
        <w:right w:val="none" w:sz="0" w:space="0" w:color="auto"/>
      </w:divBdr>
    </w:div>
    <w:div w:id="884488375">
      <w:bodyDiv w:val="1"/>
      <w:marLeft w:val="0"/>
      <w:marRight w:val="0"/>
      <w:marTop w:val="0"/>
      <w:marBottom w:val="0"/>
      <w:divBdr>
        <w:top w:val="none" w:sz="0" w:space="0" w:color="auto"/>
        <w:left w:val="none" w:sz="0" w:space="0" w:color="auto"/>
        <w:bottom w:val="none" w:sz="0" w:space="0" w:color="auto"/>
        <w:right w:val="none" w:sz="0" w:space="0" w:color="auto"/>
      </w:divBdr>
    </w:div>
    <w:div w:id="886720202">
      <w:bodyDiv w:val="1"/>
      <w:marLeft w:val="0"/>
      <w:marRight w:val="0"/>
      <w:marTop w:val="0"/>
      <w:marBottom w:val="0"/>
      <w:divBdr>
        <w:top w:val="none" w:sz="0" w:space="0" w:color="auto"/>
        <w:left w:val="none" w:sz="0" w:space="0" w:color="auto"/>
        <w:bottom w:val="none" w:sz="0" w:space="0" w:color="auto"/>
        <w:right w:val="none" w:sz="0" w:space="0" w:color="auto"/>
      </w:divBdr>
    </w:div>
    <w:div w:id="894773761">
      <w:bodyDiv w:val="1"/>
      <w:marLeft w:val="0"/>
      <w:marRight w:val="0"/>
      <w:marTop w:val="0"/>
      <w:marBottom w:val="0"/>
      <w:divBdr>
        <w:top w:val="none" w:sz="0" w:space="0" w:color="auto"/>
        <w:left w:val="none" w:sz="0" w:space="0" w:color="auto"/>
        <w:bottom w:val="none" w:sz="0" w:space="0" w:color="auto"/>
        <w:right w:val="none" w:sz="0" w:space="0" w:color="auto"/>
      </w:divBdr>
    </w:div>
    <w:div w:id="897283351">
      <w:bodyDiv w:val="1"/>
      <w:marLeft w:val="0"/>
      <w:marRight w:val="0"/>
      <w:marTop w:val="0"/>
      <w:marBottom w:val="0"/>
      <w:divBdr>
        <w:top w:val="none" w:sz="0" w:space="0" w:color="auto"/>
        <w:left w:val="none" w:sz="0" w:space="0" w:color="auto"/>
        <w:bottom w:val="none" w:sz="0" w:space="0" w:color="auto"/>
        <w:right w:val="none" w:sz="0" w:space="0" w:color="auto"/>
      </w:divBdr>
    </w:div>
    <w:div w:id="908079786">
      <w:bodyDiv w:val="1"/>
      <w:marLeft w:val="0"/>
      <w:marRight w:val="0"/>
      <w:marTop w:val="0"/>
      <w:marBottom w:val="0"/>
      <w:divBdr>
        <w:top w:val="none" w:sz="0" w:space="0" w:color="auto"/>
        <w:left w:val="none" w:sz="0" w:space="0" w:color="auto"/>
        <w:bottom w:val="none" w:sz="0" w:space="0" w:color="auto"/>
        <w:right w:val="none" w:sz="0" w:space="0" w:color="auto"/>
      </w:divBdr>
    </w:div>
    <w:div w:id="913392535">
      <w:bodyDiv w:val="1"/>
      <w:marLeft w:val="0"/>
      <w:marRight w:val="0"/>
      <w:marTop w:val="0"/>
      <w:marBottom w:val="0"/>
      <w:divBdr>
        <w:top w:val="none" w:sz="0" w:space="0" w:color="auto"/>
        <w:left w:val="none" w:sz="0" w:space="0" w:color="auto"/>
        <w:bottom w:val="none" w:sz="0" w:space="0" w:color="auto"/>
        <w:right w:val="none" w:sz="0" w:space="0" w:color="auto"/>
      </w:divBdr>
    </w:div>
    <w:div w:id="914096584">
      <w:bodyDiv w:val="1"/>
      <w:marLeft w:val="0"/>
      <w:marRight w:val="0"/>
      <w:marTop w:val="0"/>
      <w:marBottom w:val="0"/>
      <w:divBdr>
        <w:top w:val="none" w:sz="0" w:space="0" w:color="auto"/>
        <w:left w:val="none" w:sz="0" w:space="0" w:color="auto"/>
        <w:bottom w:val="none" w:sz="0" w:space="0" w:color="auto"/>
        <w:right w:val="none" w:sz="0" w:space="0" w:color="auto"/>
      </w:divBdr>
    </w:div>
    <w:div w:id="915825014">
      <w:bodyDiv w:val="1"/>
      <w:marLeft w:val="0"/>
      <w:marRight w:val="0"/>
      <w:marTop w:val="0"/>
      <w:marBottom w:val="0"/>
      <w:divBdr>
        <w:top w:val="none" w:sz="0" w:space="0" w:color="auto"/>
        <w:left w:val="none" w:sz="0" w:space="0" w:color="auto"/>
        <w:bottom w:val="none" w:sz="0" w:space="0" w:color="auto"/>
        <w:right w:val="none" w:sz="0" w:space="0" w:color="auto"/>
      </w:divBdr>
    </w:div>
    <w:div w:id="921061112">
      <w:bodyDiv w:val="1"/>
      <w:marLeft w:val="0"/>
      <w:marRight w:val="0"/>
      <w:marTop w:val="0"/>
      <w:marBottom w:val="0"/>
      <w:divBdr>
        <w:top w:val="none" w:sz="0" w:space="0" w:color="auto"/>
        <w:left w:val="none" w:sz="0" w:space="0" w:color="auto"/>
        <w:bottom w:val="none" w:sz="0" w:space="0" w:color="auto"/>
        <w:right w:val="none" w:sz="0" w:space="0" w:color="auto"/>
      </w:divBdr>
    </w:div>
    <w:div w:id="921599741">
      <w:bodyDiv w:val="1"/>
      <w:marLeft w:val="0"/>
      <w:marRight w:val="0"/>
      <w:marTop w:val="0"/>
      <w:marBottom w:val="0"/>
      <w:divBdr>
        <w:top w:val="none" w:sz="0" w:space="0" w:color="auto"/>
        <w:left w:val="none" w:sz="0" w:space="0" w:color="auto"/>
        <w:bottom w:val="none" w:sz="0" w:space="0" w:color="auto"/>
        <w:right w:val="none" w:sz="0" w:space="0" w:color="auto"/>
      </w:divBdr>
    </w:div>
    <w:div w:id="924532349">
      <w:bodyDiv w:val="1"/>
      <w:marLeft w:val="0"/>
      <w:marRight w:val="0"/>
      <w:marTop w:val="0"/>
      <w:marBottom w:val="0"/>
      <w:divBdr>
        <w:top w:val="none" w:sz="0" w:space="0" w:color="auto"/>
        <w:left w:val="none" w:sz="0" w:space="0" w:color="auto"/>
        <w:bottom w:val="none" w:sz="0" w:space="0" w:color="auto"/>
        <w:right w:val="none" w:sz="0" w:space="0" w:color="auto"/>
      </w:divBdr>
    </w:div>
    <w:div w:id="932319583">
      <w:bodyDiv w:val="1"/>
      <w:marLeft w:val="0"/>
      <w:marRight w:val="0"/>
      <w:marTop w:val="0"/>
      <w:marBottom w:val="0"/>
      <w:divBdr>
        <w:top w:val="none" w:sz="0" w:space="0" w:color="auto"/>
        <w:left w:val="none" w:sz="0" w:space="0" w:color="auto"/>
        <w:bottom w:val="none" w:sz="0" w:space="0" w:color="auto"/>
        <w:right w:val="none" w:sz="0" w:space="0" w:color="auto"/>
      </w:divBdr>
    </w:div>
    <w:div w:id="938878614">
      <w:bodyDiv w:val="1"/>
      <w:marLeft w:val="0"/>
      <w:marRight w:val="0"/>
      <w:marTop w:val="0"/>
      <w:marBottom w:val="0"/>
      <w:divBdr>
        <w:top w:val="none" w:sz="0" w:space="0" w:color="auto"/>
        <w:left w:val="none" w:sz="0" w:space="0" w:color="auto"/>
        <w:bottom w:val="none" w:sz="0" w:space="0" w:color="auto"/>
        <w:right w:val="none" w:sz="0" w:space="0" w:color="auto"/>
      </w:divBdr>
    </w:div>
    <w:div w:id="943732499">
      <w:bodyDiv w:val="1"/>
      <w:marLeft w:val="0"/>
      <w:marRight w:val="0"/>
      <w:marTop w:val="0"/>
      <w:marBottom w:val="0"/>
      <w:divBdr>
        <w:top w:val="none" w:sz="0" w:space="0" w:color="auto"/>
        <w:left w:val="none" w:sz="0" w:space="0" w:color="auto"/>
        <w:bottom w:val="none" w:sz="0" w:space="0" w:color="auto"/>
        <w:right w:val="none" w:sz="0" w:space="0" w:color="auto"/>
      </w:divBdr>
    </w:div>
    <w:div w:id="951858417">
      <w:bodyDiv w:val="1"/>
      <w:marLeft w:val="0"/>
      <w:marRight w:val="0"/>
      <w:marTop w:val="0"/>
      <w:marBottom w:val="0"/>
      <w:divBdr>
        <w:top w:val="none" w:sz="0" w:space="0" w:color="auto"/>
        <w:left w:val="none" w:sz="0" w:space="0" w:color="auto"/>
        <w:bottom w:val="none" w:sz="0" w:space="0" w:color="auto"/>
        <w:right w:val="none" w:sz="0" w:space="0" w:color="auto"/>
      </w:divBdr>
    </w:div>
    <w:div w:id="955329495">
      <w:bodyDiv w:val="1"/>
      <w:marLeft w:val="0"/>
      <w:marRight w:val="0"/>
      <w:marTop w:val="0"/>
      <w:marBottom w:val="0"/>
      <w:divBdr>
        <w:top w:val="none" w:sz="0" w:space="0" w:color="auto"/>
        <w:left w:val="none" w:sz="0" w:space="0" w:color="auto"/>
        <w:bottom w:val="none" w:sz="0" w:space="0" w:color="auto"/>
        <w:right w:val="none" w:sz="0" w:space="0" w:color="auto"/>
      </w:divBdr>
    </w:div>
    <w:div w:id="955453537">
      <w:bodyDiv w:val="1"/>
      <w:marLeft w:val="0"/>
      <w:marRight w:val="0"/>
      <w:marTop w:val="0"/>
      <w:marBottom w:val="0"/>
      <w:divBdr>
        <w:top w:val="none" w:sz="0" w:space="0" w:color="auto"/>
        <w:left w:val="none" w:sz="0" w:space="0" w:color="auto"/>
        <w:bottom w:val="none" w:sz="0" w:space="0" w:color="auto"/>
        <w:right w:val="none" w:sz="0" w:space="0" w:color="auto"/>
      </w:divBdr>
    </w:div>
    <w:div w:id="956369970">
      <w:bodyDiv w:val="1"/>
      <w:marLeft w:val="0"/>
      <w:marRight w:val="0"/>
      <w:marTop w:val="0"/>
      <w:marBottom w:val="0"/>
      <w:divBdr>
        <w:top w:val="none" w:sz="0" w:space="0" w:color="auto"/>
        <w:left w:val="none" w:sz="0" w:space="0" w:color="auto"/>
        <w:bottom w:val="none" w:sz="0" w:space="0" w:color="auto"/>
        <w:right w:val="none" w:sz="0" w:space="0" w:color="auto"/>
      </w:divBdr>
    </w:div>
    <w:div w:id="962926650">
      <w:bodyDiv w:val="1"/>
      <w:marLeft w:val="0"/>
      <w:marRight w:val="0"/>
      <w:marTop w:val="0"/>
      <w:marBottom w:val="0"/>
      <w:divBdr>
        <w:top w:val="none" w:sz="0" w:space="0" w:color="auto"/>
        <w:left w:val="none" w:sz="0" w:space="0" w:color="auto"/>
        <w:bottom w:val="none" w:sz="0" w:space="0" w:color="auto"/>
        <w:right w:val="none" w:sz="0" w:space="0" w:color="auto"/>
      </w:divBdr>
    </w:div>
    <w:div w:id="963468499">
      <w:bodyDiv w:val="1"/>
      <w:marLeft w:val="0"/>
      <w:marRight w:val="0"/>
      <w:marTop w:val="0"/>
      <w:marBottom w:val="0"/>
      <w:divBdr>
        <w:top w:val="none" w:sz="0" w:space="0" w:color="auto"/>
        <w:left w:val="none" w:sz="0" w:space="0" w:color="auto"/>
        <w:bottom w:val="none" w:sz="0" w:space="0" w:color="auto"/>
        <w:right w:val="none" w:sz="0" w:space="0" w:color="auto"/>
      </w:divBdr>
    </w:div>
    <w:div w:id="968047808">
      <w:bodyDiv w:val="1"/>
      <w:marLeft w:val="0"/>
      <w:marRight w:val="0"/>
      <w:marTop w:val="0"/>
      <w:marBottom w:val="0"/>
      <w:divBdr>
        <w:top w:val="none" w:sz="0" w:space="0" w:color="auto"/>
        <w:left w:val="none" w:sz="0" w:space="0" w:color="auto"/>
        <w:bottom w:val="none" w:sz="0" w:space="0" w:color="auto"/>
        <w:right w:val="none" w:sz="0" w:space="0" w:color="auto"/>
      </w:divBdr>
    </w:div>
    <w:div w:id="970355634">
      <w:bodyDiv w:val="1"/>
      <w:marLeft w:val="0"/>
      <w:marRight w:val="0"/>
      <w:marTop w:val="0"/>
      <w:marBottom w:val="0"/>
      <w:divBdr>
        <w:top w:val="none" w:sz="0" w:space="0" w:color="auto"/>
        <w:left w:val="none" w:sz="0" w:space="0" w:color="auto"/>
        <w:bottom w:val="none" w:sz="0" w:space="0" w:color="auto"/>
        <w:right w:val="none" w:sz="0" w:space="0" w:color="auto"/>
      </w:divBdr>
    </w:div>
    <w:div w:id="976493887">
      <w:bodyDiv w:val="1"/>
      <w:marLeft w:val="0"/>
      <w:marRight w:val="0"/>
      <w:marTop w:val="0"/>
      <w:marBottom w:val="0"/>
      <w:divBdr>
        <w:top w:val="none" w:sz="0" w:space="0" w:color="auto"/>
        <w:left w:val="none" w:sz="0" w:space="0" w:color="auto"/>
        <w:bottom w:val="none" w:sz="0" w:space="0" w:color="auto"/>
        <w:right w:val="none" w:sz="0" w:space="0" w:color="auto"/>
      </w:divBdr>
    </w:div>
    <w:div w:id="978337955">
      <w:bodyDiv w:val="1"/>
      <w:marLeft w:val="0"/>
      <w:marRight w:val="0"/>
      <w:marTop w:val="0"/>
      <w:marBottom w:val="0"/>
      <w:divBdr>
        <w:top w:val="none" w:sz="0" w:space="0" w:color="auto"/>
        <w:left w:val="none" w:sz="0" w:space="0" w:color="auto"/>
        <w:bottom w:val="none" w:sz="0" w:space="0" w:color="auto"/>
        <w:right w:val="none" w:sz="0" w:space="0" w:color="auto"/>
      </w:divBdr>
    </w:div>
    <w:div w:id="980312264">
      <w:bodyDiv w:val="1"/>
      <w:marLeft w:val="0"/>
      <w:marRight w:val="0"/>
      <w:marTop w:val="0"/>
      <w:marBottom w:val="0"/>
      <w:divBdr>
        <w:top w:val="none" w:sz="0" w:space="0" w:color="auto"/>
        <w:left w:val="none" w:sz="0" w:space="0" w:color="auto"/>
        <w:bottom w:val="none" w:sz="0" w:space="0" w:color="auto"/>
        <w:right w:val="none" w:sz="0" w:space="0" w:color="auto"/>
      </w:divBdr>
    </w:div>
    <w:div w:id="980843262">
      <w:bodyDiv w:val="1"/>
      <w:marLeft w:val="0"/>
      <w:marRight w:val="0"/>
      <w:marTop w:val="0"/>
      <w:marBottom w:val="0"/>
      <w:divBdr>
        <w:top w:val="none" w:sz="0" w:space="0" w:color="auto"/>
        <w:left w:val="none" w:sz="0" w:space="0" w:color="auto"/>
        <w:bottom w:val="none" w:sz="0" w:space="0" w:color="auto"/>
        <w:right w:val="none" w:sz="0" w:space="0" w:color="auto"/>
      </w:divBdr>
    </w:div>
    <w:div w:id="987591949">
      <w:bodyDiv w:val="1"/>
      <w:marLeft w:val="0"/>
      <w:marRight w:val="0"/>
      <w:marTop w:val="0"/>
      <w:marBottom w:val="0"/>
      <w:divBdr>
        <w:top w:val="none" w:sz="0" w:space="0" w:color="auto"/>
        <w:left w:val="none" w:sz="0" w:space="0" w:color="auto"/>
        <w:bottom w:val="none" w:sz="0" w:space="0" w:color="auto"/>
        <w:right w:val="none" w:sz="0" w:space="0" w:color="auto"/>
      </w:divBdr>
    </w:div>
    <w:div w:id="987708160">
      <w:bodyDiv w:val="1"/>
      <w:marLeft w:val="0"/>
      <w:marRight w:val="0"/>
      <w:marTop w:val="0"/>
      <w:marBottom w:val="0"/>
      <w:divBdr>
        <w:top w:val="none" w:sz="0" w:space="0" w:color="auto"/>
        <w:left w:val="none" w:sz="0" w:space="0" w:color="auto"/>
        <w:bottom w:val="none" w:sz="0" w:space="0" w:color="auto"/>
        <w:right w:val="none" w:sz="0" w:space="0" w:color="auto"/>
      </w:divBdr>
    </w:div>
    <w:div w:id="999189977">
      <w:bodyDiv w:val="1"/>
      <w:marLeft w:val="0"/>
      <w:marRight w:val="0"/>
      <w:marTop w:val="0"/>
      <w:marBottom w:val="0"/>
      <w:divBdr>
        <w:top w:val="none" w:sz="0" w:space="0" w:color="auto"/>
        <w:left w:val="none" w:sz="0" w:space="0" w:color="auto"/>
        <w:bottom w:val="none" w:sz="0" w:space="0" w:color="auto"/>
        <w:right w:val="none" w:sz="0" w:space="0" w:color="auto"/>
      </w:divBdr>
    </w:div>
    <w:div w:id="1002198763">
      <w:bodyDiv w:val="1"/>
      <w:marLeft w:val="0"/>
      <w:marRight w:val="0"/>
      <w:marTop w:val="0"/>
      <w:marBottom w:val="0"/>
      <w:divBdr>
        <w:top w:val="none" w:sz="0" w:space="0" w:color="auto"/>
        <w:left w:val="none" w:sz="0" w:space="0" w:color="auto"/>
        <w:bottom w:val="none" w:sz="0" w:space="0" w:color="auto"/>
        <w:right w:val="none" w:sz="0" w:space="0" w:color="auto"/>
      </w:divBdr>
    </w:div>
    <w:div w:id="1006051593">
      <w:bodyDiv w:val="1"/>
      <w:marLeft w:val="0"/>
      <w:marRight w:val="0"/>
      <w:marTop w:val="0"/>
      <w:marBottom w:val="0"/>
      <w:divBdr>
        <w:top w:val="none" w:sz="0" w:space="0" w:color="auto"/>
        <w:left w:val="none" w:sz="0" w:space="0" w:color="auto"/>
        <w:bottom w:val="none" w:sz="0" w:space="0" w:color="auto"/>
        <w:right w:val="none" w:sz="0" w:space="0" w:color="auto"/>
      </w:divBdr>
    </w:div>
    <w:div w:id="1007950049">
      <w:bodyDiv w:val="1"/>
      <w:marLeft w:val="0"/>
      <w:marRight w:val="0"/>
      <w:marTop w:val="0"/>
      <w:marBottom w:val="0"/>
      <w:divBdr>
        <w:top w:val="none" w:sz="0" w:space="0" w:color="auto"/>
        <w:left w:val="none" w:sz="0" w:space="0" w:color="auto"/>
        <w:bottom w:val="none" w:sz="0" w:space="0" w:color="auto"/>
        <w:right w:val="none" w:sz="0" w:space="0" w:color="auto"/>
      </w:divBdr>
    </w:div>
    <w:div w:id="1009719736">
      <w:bodyDiv w:val="1"/>
      <w:marLeft w:val="0"/>
      <w:marRight w:val="0"/>
      <w:marTop w:val="0"/>
      <w:marBottom w:val="0"/>
      <w:divBdr>
        <w:top w:val="none" w:sz="0" w:space="0" w:color="auto"/>
        <w:left w:val="none" w:sz="0" w:space="0" w:color="auto"/>
        <w:bottom w:val="none" w:sz="0" w:space="0" w:color="auto"/>
        <w:right w:val="none" w:sz="0" w:space="0" w:color="auto"/>
      </w:divBdr>
    </w:div>
    <w:div w:id="1012998193">
      <w:bodyDiv w:val="1"/>
      <w:marLeft w:val="0"/>
      <w:marRight w:val="0"/>
      <w:marTop w:val="0"/>
      <w:marBottom w:val="0"/>
      <w:divBdr>
        <w:top w:val="none" w:sz="0" w:space="0" w:color="auto"/>
        <w:left w:val="none" w:sz="0" w:space="0" w:color="auto"/>
        <w:bottom w:val="none" w:sz="0" w:space="0" w:color="auto"/>
        <w:right w:val="none" w:sz="0" w:space="0" w:color="auto"/>
      </w:divBdr>
    </w:div>
    <w:div w:id="1032077140">
      <w:bodyDiv w:val="1"/>
      <w:marLeft w:val="0"/>
      <w:marRight w:val="0"/>
      <w:marTop w:val="0"/>
      <w:marBottom w:val="0"/>
      <w:divBdr>
        <w:top w:val="none" w:sz="0" w:space="0" w:color="auto"/>
        <w:left w:val="none" w:sz="0" w:space="0" w:color="auto"/>
        <w:bottom w:val="none" w:sz="0" w:space="0" w:color="auto"/>
        <w:right w:val="none" w:sz="0" w:space="0" w:color="auto"/>
      </w:divBdr>
    </w:div>
    <w:div w:id="1033189018">
      <w:bodyDiv w:val="1"/>
      <w:marLeft w:val="0"/>
      <w:marRight w:val="0"/>
      <w:marTop w:val="0"/>
      <w:marBottom w:val="0"/>
      <w:divBdr>
        <w:top w:val="none" w:sz="0" w:space="0" w:color="auto"/>
        <w:left w:val="none" w:sz="0" w:space="0" w:color="auto"/>
        <w:bottom w:val="none" w:sz="0" w:space="0" w:color="auto"/>
        <w:right w:val="none" w:sz="0" w:space="0" w:color="auto"/>
      </w:divBdr>
    </w:div>
    <w:div w:id="1041713814">
      <w:bodyDiv w:val="1"/>
      <w:marLeft w:val="0"/>
      <w:marRight w:val="0"/>
      <w:marTop w:val="0"/>
      <w:marBottom w:val="0"/>
      <w:divBdr>
        <w:top w:val="none" w:sz="0" w:space="0" w:color="auto"/>
        <w:left w:val="none" w:sz="0" w:space="0" w:color="auto"/>
        <w:bottom w:val="none" w:sz="0" w:space="0" w:color="auto"/>
        <w:right w:val="none" w:sz="0" w:space="0" w:color="auto"/>
      </w:divBdr>
    </w:div>
    <w:div w:id="1045637116">
      <w:bodyDiv w:val="1"/>
      <w:marLeft w:val="0"/>
      <w:marRight w:val="0"/>
      <w:marTop w:val="0"/>
      <w:marBottom w:val="0"/>
      <w:divBdr>
        <w:top w:val="none" w:sz="0" w:space="0" w:color="auto"/>
        <w:left w:val="none" w:sz="0" w:space="0" w:color="auto"/>
        <w:bottom w:val="none" w:sz="0" w:space="0" w:color="auto"/>
        <w:right w:val="none" w:sz="0" w:space="0" w:color="auto"/>
      </w:divBdr>
    </w:div>
    <w:div w:id="1049304470">
      <w:bodyDiv w:val="1"/>
      <w:marLeft w:val="0"/>
      <w:marRight w:val="0"/>
      <w:marTop w:val="0"/>
      <w:marBottom w:val="0"/>
      <w:divBdr>
        <w:top w:val="none" w:sz="0" w:space="0" w:color="auto"/>
        <w:left w:val="none" w:sz="0" w:space="0" w:color="auto"/>
        <w:bottom w:val="none" w:sz="0" w:space="0" w:color="auto"/>
        <w:right w:val="none" w:sz="0" w:space="0" w:color="auto"/>
      </w:divBdr>
    </w:div>
    <w:div w:id="1058436186">
      <w:bodyDiv w:val="1"/>
      <w:marLeft w:val="0"/>
      <w:marRight w:val="0"/>
      <w:marTop w:val="0"/>
      <w:marBottom w:val="0"/>
      <w:divBdr>
        <w:top w:val="none" w:sz="0" w:space="0" w:color="auto"/>
        <w:left w:val="none" w:sz="0" w:space="0" w:color="auto"/>
        <w:bottom w:val="none" w:sz="0" w:space="0" w:color="auto"/>
        <w:right w:val="none" w:sz="0" w:space="0" w:color="auto"/>
      </w:divBdr>
    </w:div>
    <w:div w:id="1060901514">
      <w:bodyDiv w:val="1"/>
      <w:marLeft w:val="0"/>
      <w:marRight w:val="0"/>
      <w:marTop w:val="0"/>
      <w:marBottom w:val="0"/>
      <w:divBdr>
        <w:top w:val="none" w:sz="0" w:space="0" w:color="auto"/>
        <w:left w:val="none" w:sz="0" w:space="0" w:color="auto"/>
        <w:bottom w:val="none" w:sz="0" w:space="0" w:color="auto"/>
        <w:right w:val="none" w:sz="0" w:space="0" w:color="auto"/>
      </w:divBdr>
    </w:div>
    <w:div w:id="1066761553">
      <w:bodyDiv w:val="1"/>
      <w:marLeft w:val="0"/>
      <w:marRight w:val="0"/>
      <w:marTop w:val="0"/>
      <w:marBottom w:val="0"/>
      <w:divBdr>
        <w:top w:val="none" w:sz="0" w:space="0" w:color="auto"/>
        <w:left w:val="none" w:sz="0" w:space="0" w:color="auto"/>
        <w:bottom w:val="none" w:sz="0" w:space="0" w:color="auto"/>
        <w:right w:val="none" w:sz="0" w:space="0" w:color="auto"/>
      </w:divBdr>
    </w:div>
    <w:div w:id="1072001976">
      <w:bodyDiv w:val="1"/>
      <w:marLeft w:val="0"/>
      <w:marRight w:val="0"/>
      <w:marTop w:val="0"/>
      <w:marBottom w:val="0"/>
      <w:divBdr>
        <w:top w:val="none" w:sz="0" w:space="0" w:color="auto"/>
        <w:left w:val="none" w:sz="0" w:space="0" w:color="auto"/>
        <w:bottom w:val="none" w:sz="0" w:space="0" w:color="auto"/>
        <w:right w:val="none" w:sz="0" w:space="0" w:color="auto"/>
      </w:divBdr>
    </w:div>
    <w:div w:id="1072656132">
      <w:bodyDiv w:val="1"/>
      <w:marLeft w:val="0"/>
      <w:marRight w:val="0"/>
      <w:marTop w:val="0"/>
      <w:marBottom w:val="0"/>
      <w:divBdr>
        <w:top w:val="none" w:sz="0" w:space="0" w:color="auto"/>
        <w:left w:val="none" w:sz="0" w:space="0" w:color="auto"/>
        <w:bottom w:val="none" w:sz="0" w:space="0" w:color="auto"/>
        <w:right w:val="none" w:sz="0" w:space="0" w:color="auto"/>
      </w:divBdr>
    </w:div>
    <w:div w:id="1074469252">
      <w:bodyDiv w:val="1"/>
      <w:marLeft w:val="0"/>
      <w:marRight w:val="0"/>
      <w:marTop w:val="0"/>
      <w:marBottom w:val="0"/>
      <w:divBdr>
        <w:top w:val="none" w:sz="0" w:space="0" w:color="auto"/>
        <w:left w:val="none" w:sz="0" w:space="0" w:color="auto"/>
        <w:bottom w:val="none" w:sz="0" w:space="0" w:color="auto"/>
        <w:right w:val="none" w:sz="0" w:space="0" w:color="auto"/>
      </w:divBdr>
    </w:div>
    <w:div w:id="1079525007">
      <w:bodyDiv w:val="1"/>
      <w:marLeft w:val="0"/>
      <w:marRight w:val="0"/>
      <w:marTop w:val="0"/>
      <w:marBottom w:val="0"/>
      <w:divBdr>
        <w:top w:val="none" w:sz="0" w:space="0" w:color="auto"/>
        <w:left w:val="none" w:sz="0" w:space="0" w:color="auto"/>
        <w:bottom w:val="none" w:sz="0" w:space="0" w:color="auto"/>
        <w:right w:val="none" w:sz="0" w:space="0" w:color="auto"/>
      </w:divBdr>
    </w:div>
    <w:div w:id="1081488130">
      <w:bodyDiv w:val="1"/>
      <w:marLeft w:val="0"/>
      <w:marRight w:val="0"/>
      <w:marTop w:val="0"/>
      <w:marBottom w:val="0"/>
      <w:divBdr>
        <w:top w:val="none" w:sz="0" w:space="0" w:color="auto"/>
        <w:left w:val="none" w:sz="0" w:space="0" w:color="auto"/>
        <w:bottom w:val="none" w:sz="0" w:space="0" w:color="auto"/>
        <w:right w:val="none" w:sz="0" w:space="0" w:color="auto"/>
      </w:divBdr>
    </w:div>
    <w:div w:id="1086802280">
      <w:bodyDiv w:val="1"/>
      <w:marLeft w:val="0"/>
      <w:marRight w:val="0"/>
      <w:marTop w:val="0"/>
      <w:marBottom w:val="0"/>
      <w:divBdr>
        <w:top w:val="none" w:sz="0" w:space="0" w:color="auto"/>
        <w:left w:val="none" w:sz="0" w:space="0" w:color="auto"/>
        <w:bottom w:val="none" w:sz="0" w:space="0" w:color="auto"/>
        <w:right w:val="none" w:sz="0" w:space="0" w:color="auto"/>
      </w:divBdr>
    </w:div>
    <w:div w:id="1091125771">
      <w:bodyDiv w:val="1"/>
      <w:marLeft w:val="0"/>
      <w:marRight w:val="0"/>
      <w:marTop w:val="0"/>
      <w:marBottom w:val="0"/>
      <w:divBdr>
        <w:top w:val="none" w:sz="0" w:space="0" w:color="auto"/>
        <w:left w:val="none" w:sz="0" w:space="0" w:color="auto"/>
        <w:bottom w:val="none" w:sz="0" w:space="0" w:color="auto"/>
        <w:right w:val="none" w:sz="0" w:space="0" w:color="auto"/>
      </w:divBdr>
    </w:div>
    <w:div w:id="1100182491">
      <w:bodyDiv w:val="1"/>
      <w:marLeft w:val="0"/>
      <w:marRight w:val="0"/>
      <w:marTop w:val="0"/>
      <w:marBottom w:val="0"/>
      <w:divBdr>
        <w:top w:val="none" w:sz="0" w:space="0" w:color="auto"/>
        <w:left w:val="none" w:sz="0" w:space="0" w:color="auto"/>
        <w:bottom w:val="none" w:sz="0" w:space="0" w:color="auto"/>
        <w:right w:val="none" w:sz="0" w:space="0" w:color="auto"/>
      </w:divBdr>
    </w:div>
    <w:div w:id="1103110679">
      <w:bodyDiv w:val="1"/>
      <w:marLeft w:val="0"/>
      <w:marRight w:val="0"/>
      <w:marTop w:val="0"/>
      <w:marBottom w:val="0"/>
      <w:divBdr>
        <w:top w:val="none" w:sz="0" w:space="0" w:color="auto"/>
        <w:left w:val="none" w:sz="0" w:space="0" w:color="auto"/>
        <w:bottom w:val="none" w:sz="0" w:space="0" w:color="auto"/>
        <w:right w:val="none" w:sz="0" w:space="0" w:color="auto"/>
      </w:divBdr>
    </w:div>
    <w:div w:id="1104961212">
      <w:bodyDiv w:val="1"/>
      <w:marLeft w:val="0"/>
      <w:marRight w:val="0"/>
      <w:marTop w:val="0"/>
      <w:marBottom w:val="0"/>
      <w:divBdr>
        <w:top w:val="none" w:sz="0" w:space="0" w:color="auto"/>
        <w:left w:val="none" w:sz="0" w:space="0" w:color="auto"/>
        <w:bottom w:val="none" w:sz="0" w:space="0" w:color="auto"/>
        <w:right w:val="none" w:sz="0" w:space="0" w:color="auto"/>
      </w:divBdr>
    </w:div>
    <w:div w:id="1105998767">
      <w:bodyDiv w:val="1"/>
      <w:marLeft w:val="0"/>
      <w:marRight w:val="0"/>
      <w:marTop w:val="0"/>
      <w:marBottom w:val="0"/>
      <w:divBdr>
        <w:top w:val="none" w:sz="0" w:space="0" w:color="auto"/>
        <w:left w:val="none" w:sz="0" w:space="0" w:color="auto"/>
        <w:bottom w:val="none" w:sz="0" w:space="0" w:color="auto"/>
        <w:right w:val="none" w:sz="0" w:space="0" w:color="auto"/>
      </w:divBdr>
    </w:div>
    <w:div w:id="1109277958">
      <w:bodyDiv w:val="1"/>
      <w:marLeft w:val="0"/>
      <w:marRight w:val="0"/>
      <w:marTop w:val="0"/>
      <w:marBottom w:val="0"/>
      <w:divBdr>
        <w:top w:val="none" w:sz="0" w:space="0" w:color="auto"/>
        <w:left w:val="none" w:sz="0" w:space="0" w:color="auto"/>
        <w:bottom w:val="none" w:sz="0" w:space="0" w:color="auto"/>
        <w:right w:val="none" w:sz="0" w:space="0" w:color="auto"/>
      </w:divBdr>
    </w:div>
    <w:div w:id="1113283175">
      <w:bodyDiv w:val="1"/>
      <w:marLeft w:val="0"/>
      <w:marRight w:val="0"/>
      <w:marTop w:val="0"/>
      <w:marBottom w:val="0"/>
      <w:divBdr>
        <w:top w:val="none" w:sz="0" w:space="0" w:color="auto"/>
        <w:left w:val="none" w:sz="0" w:space="0" w:color="auto"/>
        <w:bottom w:val="none" w:sz="0" w:space="0" w:color="auto"/>
        <w:right w:val="none" w:sz="0" w:space="0" w:color="auto"/>
      </w:divBdr>
    </w:div>
    <w:div w:id="1115712151">
      <w:bodyDiv w:val="1"/>
      <w:marLeft w:val="0"/>
      <w:marRight w:val="0"/>
      <w:marTop w:val="0"/>
      <w:marBottom w:val="0"/>
      <w:divBdr>
        <w:top w:val="none" w:sz="0" w:space="0" w:color="auto"/>
        <w:left w:val="none" w:sz="0" w:space="0" w:color="auto"/>
        <w:bottom w:val="none" w:sz="0" w:space="0" w:color="auto"/>
        <w:right w:val="none" w:sz="0" w:space="0" w:color="auto"/>
      </w:divBdr>
    </w:div>
    <w:div w:id="1127620488">
      <w:bodyDiv w:val="1"/>
      <w:marLeft w:val="0"/>
      <w:marRight w:val="0"/>
      <w:marTop w:val="0"/>
      <w:marBottom w:val="0"/>
      <w:divBdr>
        <w:top w:val="none" w:sz="0" w:space="0" w:color="auto"/>
        <w:left w:val="none" w:sz="0" w:space="0" w:color="auto"/>
        <w:bottom w:val="none" w:sz="0" w:space="0" w:color="auto"/>
        <w:right w:val="none" w:sz="0" w:space="0" w:color="auto"/>
      </w:divBdr>
    </w:div>
    <w:div w:id="1128166154">
      <w:bodyDiv w:val="1"/>
      <w:marLeft w:val="0"/>
      <w:marRight w:val="0"/>
      <w:marTop w:val="0"/>
      <w:marBottom w:val="0"/>
      <w:divBdr>
        <w:top w:val="none" w:sz="0" w:space="0" w:color="auto"/>
        <w:left w:val="none" w:sz="0" w:space="0" w:color="auto"/>
        <w:bottom w:val="none" w:sz="0" w:space="0" w:color="auto"/>
        <w:right w:val="none" w:sz="0" w:space="0" w:color="auto"/>
      </w:divBdr>
    </w:div>
    <w:div w:id="1129592014">
      <w:bodyDiv w:val="1"/>
      <w:marLeft w:val="0"/>
      <w:marRight w:val="0"/>
      <w:marTop w:val="0"/>
      <w:marBottom w:val="0"/>
      <w:divBdr>
        <w:top w:val="none" w:sz="0" w:space="0" w:color="auto"/>
        <w:left w:val="none" w:sz="0" w:space="0" w:color="auto"/>
        <w:bottom w:val="none" w:sz="0" w:space="0" w:color="auto"/>
        <w:right w:val="none" w:sz="0" w:space="0" w:color="auto"/>
      </w:divBdr>
    </w:div>
    <w:div w:id="1133598773">
      <w:bodyDiv w:val="1"/>
      <w:marLeft w:val="0"/>
      <w:marRight w:val="0"/>
      <w:marTop w:val="0"/>
      <w:marBottom w:val="0"/>
      <w:divBdr>
        <w:top w:val="none" w:sz="0" w:space="0" w:color="auto"/>
        <w:left w:val="none" w:sz="0" w:space="0" w:color="auto"/>
        <w:bottom w:val="none" w:sz="0" w:space="0" w:color="auto"/>
        <w:right w:val="none" w:sz="0" w:space="0" w:color="auto"/>
      </w:divBdr>
    </w:div>
    <w:div w:id="1139226141">
      <w:bodyDiv w:val="1"/>
      <w:marLeft w:val="0"/>
      <w:marRight w:val="0"/>
      <w:marTop w:val="0"/>
      <w:marBottom w:val="0"/>
      <w:divBdr>
        <w:top w:val="none" w:sz="0" w:space="0" w:color="auto"/>
        <w:left w:val="none" w:sz="0" w:space="0" w:color="auto"/>
        <w:bottom w:val="none" w:sz="0" w:space="0" w:color="auto"/>
        <w:right w:val="none" w:sz="0" w:space="0" w:color="auto"/>
      </w:divBdr>
    </w:div>
    <w:div w:id="1142230009">
      <w:bodyDiv w:val="1"/>
      <w:marLeft w:val="0"/>
      <w:marRight w:val="0"/>
      <w:marTop w:val="0"/>
      <w:marBottom w:val="0"/>
      <w:divBdr>
        <w:top w:val="none" w:sz="0" w:space="0" w:color="auto"/>
        <w:left w:val="none" w:sz="0" w:space="0" w:color="auto"/>
        <w:bottom w:val="none" w:sz="0" w:space="0" w:color="auto"/>
        <w:right w:val="none" w:sz="0" w:space="0" w:color="auto"/>
      </w:divBdr>
    </w:div>
    <w:div w:id="1147472897">
      <w:bodyDiv w:val="1"/>
      <w:marLeft w:val="0"/>
      <w:marRight w:val="0"/>
      <w:marTop w:val="0"/>
      <w:marBottom w:val="0"/>
      <w:divBdr>
        <w:top w:val="none" w:sz="0" w:space="0" w:color="auto"/>
        <w:left w:val="none" w:sz="0" w:space="0" w:color="auto"/>
        <w:bottom w:val="none" w:sz="0" w:space="0" w:color="auto"/>
        <w:right w:val="none" w:sz="0" w:space="0" w:color="auto"/>
      </w:divBdr>
    </w:div>
    <w:div w:id="1153646140">
      <w:bodyDiv w:val="1"/>
      <w:marLeft w:val="0"/>
      <w:marRight w:val="0"/>
      <w:marTop w:val="0"/>
      <w:marBottom w:val="0"/>
      <w:divBdr>
        <w:top w:val="none" w:sz="0" w:space="0" w:color="auto"/>
        <w:left w:val="none" w:sz="0" w:space="0" w:color="auto"/>
        <w:bottom w:val="none" w:sz="0" w:space="0" w:color="auto"/>
        <w:right w:val="none" w:sz="0" w:space="0" w:color="auto"/>
      </w:divBdr>
    </w:div>
    <w:div w:id="1156334702">
      <w:bodyDiv w:val="1"/>
      <w:marLeft w:val="0"/>
      <w:marRight w:val="0"/>
      <w:marTop w:val="0"/>
      <w:marBottom w:val="0"/>
      <w:divBdr>
        <w:top w:val="none" w:sz="0" w:space="0" w:color="auto"/>
        <w:left w:val="none" w:sz="0" w:space="0" w:color="auto"/>
        <w:bottom w:val="none" w:sz="0" w:space="0" w:color="auto"/>
        <w:right w:val="none" w:sz="0" w:space="0" w:color="auto"/>
      </w:divBdr>
    </w:div>
    <w:div w:id="1156921127">
      <w:bodyDiv w:val="1"/>
      <w:marLeft w:val="0"/>
      <w:marRight w:val="0"/>
      <w:marTop w:val="0"/>
      <w:marBottom w:val="0"/>
      <w:divBdr>
        <w:top w:val="none" w:sz="0" w:space="0" w:color="auto"/>
        <w:left w:val="none" w:sz="0" w:space="0" w:color="auto"/>
        <w:bottom w:val="none" w:sz="0" w:space="0" w:color="auto"/>
        <w:right w:val="none" w:sz="0" w:space="0" w:color="auto"/>
      </w:divBdr>
    </w:div>
    <w:div w:id="1157771143">
      <w:bodyDiv w:val="1"/>
      <w:marLeft w:val="0"/>
      <w:marRight w:val="0"/>
      <w:marTop w:val="0"/>
      <w:marBottom w:val="0"/>
      <w:divBdr>
        <w:top w:val="none" w:sz="0" w:space="0" w:color="auto"/>
        <w:left w:val="none" w:sz="0" w:space="0" w:color="auto"/>
        <w:bottom w:val="none" w:sz="0" w:space="0" w:color="auto"/>
        <w:right w:val="none" w:sz="0" w:space="0" w:color="auto"/>
      </w:divBdr>
    </w:div>
    <w:div w:id="1166824055">
      <w:bodyDiv w:val="1"/>
      <w:marLeft w:val="0"/>
      <w:marRight w:val="0"/>
      <w:marTop w:val="0"/>
      <w:marBottom w:val="0"/>
      <w:divBdr>
        <w:top w:val="none" w:sz="0" w:space="0" w:color="auto"/>
        <w:left w:val="none" w:sz="0" w:space="0" w:color="auto"/>
        <w:bottom w:val="none" w:sz="0" w:space="0" w:color="auto"/>
        <w:right w:val="none" w:sz="0" w:space="0" w:color="auto"/>
      </w:divBdr>
    </w:div>
    <w:div w:id="1167282449">
      <w:bodyDiv w:val="1"/>
      <w:marLeft w:val="0"/>
      <w:marRight w:val="0"/>
      <w:marTop w:val="0"/>
      <w:marBottom w:val="0"/>
      <w:divBdr>
        <w:top w:val="none" w:sz="0" w:space="0" w:color="auto"/>
        <w:left w:val="none" w:sz="0" w:space="0" w:color="auto"/>
        <w:bottom w:val="none" w:sz="0" w:space="0" w:color="auto"/>
        <w:right w:val="none" w:sz="0" w:space="0" w:color="auto"/>
      </w:divBdr>
    </w:div>
    <w:div w:id="1167750359">
      <w:bodyDiv w:val="1"/>
      <w:marLeft w:val="0"/>
      <w:marRight w:val="0"/>
      <w:marTop w:val="0"/>
      <w:marBottom w:val="0"/>
      <w:divBdr>
        <w:top w:val="none" w:sz="0" w:space="0" w:color="auto"/>
        <w:left w:val="none" w:sz="0" w:space="0" w:color="auto"/>
        <w:bottom w:val="none" w:sz="0" w:space="0" w:color="auto"/>
        <w:right w:val="none" w:sz="0" w:space="0" w:color="auto"/>
      </w:divBdr>
    </w:div>
    <w:div w:id="1169980121">
      <w:bodyDiv w:val="1"/>
      <w:marLeft w:val="0"/>
      <w:marRight w:val="0"/>
      <w:marTop w:val="0"/>
      <w:marBottom w:val="0"/>
      <w:divBdr>
        <w:top w:val="none" w:sz="0" w:space="0" w:color="auto"/>
        <w:left w:val="none" w:sz="0" w:space="0" w:color="auto"/>
        <w:bottom w:val="none" w:sz="0" w:space="0" w:color="auto"/>
        <w:right w:val="none" w:sz="0" w:space="0" w:color="auto"/>
      </w:divBdr>
    </w:div>
    <w:div w:id="1177034107">
      <w:bodyDiv w:val="1"/>
      <w:marLeft w:val="0"/>
      <w:marRight w:val="0"/>
      <w:marTop w:val="0"/>
      <w:marBottom w:val="0"/>
      <w:divBdr>
        <w:top w:val="none" w:sz="0" w:space="0" w:color="auto"/>
        <w:left w:val="none" w:sz="0" w:space="0" w:color="auto"/>
        <w:bottom w:val="none" w:sz="0" w:space="0" w:color="auto"/>
        <w:right w:val="none" w:sz="0" w:space="0" w:color="auto"/>
      </w:divBdr>
    </w:div>
    <w:div w:id="1182427398">
      <w:bodyDiv w:val="1"/>
      <w:marLeft w:val="0"/>
      <w:marRight w:val="0"/>
      <w:marTop w:val="0"/>
      <w:marBottom w:val="0"/>
      <w:divBdr>
        <w:top w:val="none" w:sz="0" w:space="0" w:color="auto"/>
        <w:left w:val="none" w:sz="0" w:space="0" w:color="auto"/>
        <w:bottom w:val="none" w:sz="0" w:space="0" w:color="auto"/>
        <w:right w:val="none" w:sz="0" w:space="0" w:color="auto"/>
      </w:divBdr>
    </w:div>
    <w:div w:id="1189370495">
      <w:bodyDiv w:val="1"/>
      <w:marLeft w:val="0"/>
      <w:marRight w:val="0"/>
      <w:marTop w:val="0"/>
      <w:marBottom w:val="0"/>
      <w:divBdr>
        <w:top w:val="none" w:sz="0" w:space="0" w:color="auto"/>
        <w:left w:val="none" w:sz="0" w:space="0" w:color="auto"/>
        <w:bottom w:val="none" w:sz="0" w:space="0" w:color="auto"/>
        <w:right w:val="none" w:sz="0" w:space="0" w:color="auto"/>
      </w:divBdr>
    </w:div>
    <w:div w:id="1212427947">
      <w:bodyDiv w:val="1"/>
      <w:marLeft w:val="0"/>
      <w:marRight w:val="0"/>
      <w:marTop w:val="0"/>
      <w:marBottom w:val="0"/>
      <w:divBdr>
        <w:top w:val="none" w:sz="0" w:space="0" w:color="auto"/>
        <w:left w:val="none" w:sz="0" w:space="0" w:color="auto"/>
        <w:bottom w:val="none" w:sz="0" w:space="0" w:color="auto"/>
        <w:right w:val="none" w:sz="0" w:space="0" w:color="auto"/>
      </w:divBdr>
    </w:div>
    <w:div w:id="1214460124">
      <w:bodyDiv w:val="1"/>
      <w:marLeft w:val="0"/>
      <w:marRight w:val="0"/>
      <w:marTop w:val="0"/>
      <w:marBottom w:val="0"/>
      <w:divBdr>
        <w:top w:val="none" w:sz="0" w:space="0" w:color="auto"/>
        <w:left w:val="none" w:sz="0" w:space="0" w:color="auto"/>
        <w:bottom w:val="none" w:sz="0" w:space="0" w:color="auto"/>
        <w:right w:val="none" w:sz="0" w:space="0" w:color="auto"/>
      </w:divBdr>
    </w:div>
    <w:div w:id="1216963716">
      <w:bodyDiv w:val="1"/>
      <w:marLeft w:val="0"/>
      <w:marRight w:val="0"/>
      <w:marTop w:val="0"/>
      <w:marBottom w:val="0"/>
      <w:divBdr>
        <w:top w:val="none" w:sz="0" w:space="0" w:color="auto"/>
        <w:left w:val="none" w:sz="0" w:space="0" w:color="auto"/>
        <w:bottom w:val="none" w:sz="0" w:space="0" w:color="auto"/>
        <w:right w:val="none" w:sz="0" w:space="0" w:color="auto"/>
      </w:divBdr>
    </w:div>
    <w:div w:id="1218321633">
      <w:bodyDiv w:val="1"/>
      <w:marLeft w:val="0"/>
      <w:marRight w:val="0"/>
      <w:marTop w:val="0"/>
      <w:marBottom w:val="0"/>
      <w:divBdr>
        <w:top w:val="none" w:sz="0" w:space="0" w:color="auto"/>
        <w:left w:val="none" w:sz="0" w:space="0" w:color="auto"/>
        <w:bottom w:val="none" w:sz="0" w:space="0" w:color="auto"/>
        <w:right w:val="none" w:sz="0" w:space="0" w:color="auto"/>
      </w:divBdr>
    </w:div>
    <w:div w:id="1224484318">
      <w:bodyDiv w:val="1"/>
      <w:marLeft w:val="0"/>
      <w:marRight w:val="0"/>
      <w:marTop w:val="0"/>
      <w:marBottom w:val="0"/>
      <w:divBdr>
        <w:top w:val="none" w:sz="0" w:space="0" w:color="auto"/>
        <w:left w:val="none" w:sz="0" w:space="0" w:color="auto"/>
        <w:bottom w:val="none" w:sz="0" w:space="0" w:color="auto"/>
        <w:right w:val="none" w:sz="0" w:space="0" w:color="auto"/>
      </w:divBdr>
    </w:div>
    <w:div w:id="1237009308">
      <w:bodyDiv w:val="1"/>
      <w:marLeft w:val="0"/>
      <w:marRight w:val="0"/>
      <w:marTop w:val="0"/>
      <w:marBottom w:val="0"/>
      <w:divBdr>
        <w:top w:val="none" w:sz="0" w:space="0" w:color="auto"/>
        <w:left w:val="none" w:sz="0" w:space="0" w:color="auto"/>
        <w:bottom w:val="none" w:sz="0" w:space="0" w:color="auto"/>
        <w:right w:val="none" w:sz="0" w:space="0" w:color="auto"/>
      </w:divBdr>
    </w:div>
    <w:div w:id="1251935766">
      <w:bodyDiv w:val="1"/>
      <w:marLeft w:val="0"/>
      <w:marRight w:val="0"/>
      <w:marTop w:val="0"/>
      <w:marBottom w:val="0"/>
      <w:divBdr>
        <w:top w:val="none" w:sz="0" w:space="0" w:color="auto"/>
        <w:left w:val="none" w:sz="0" w:space="0" w:color="auto"/>
        <w:bottom w:val="none" w:sz="0" w:space="0" w:color="auto"/>
        <w:right w:val="none" w:sz="0" w:space="0" w:color="auto"/>
      </w:divBdr>
    </w:div>
    <w:div w:id="1253196694">
      <w:bodyDiv w:val="1"/>
      <w:marLeft w:val="0"/>
      <w:marRight w:val="0"/>
      <w:marTop w:val="0"/>
      <w:marBottom w:val="0"/>
      <w:divBdr>
        <w:top w:val="none" w:sz="0" w:space="0" w:color="auto"/>
        <w:left w:val="none" w:sz="0" w:space="0" w:color="auto"/>
        <w:bottom w:val="none" w:sz="0" w:space="0" w:color="auto"/>
        <w:right w:val="none" w:sz="0" w:space="0" w:color="auto"/>
      </w:divBdr>
    </w:div>
    <w:div w:id="1255287244">
      <w:bodyDiv w:val="1"/>
      <w:marLeft w:val="0"/>
      <w:marRight w:val="0"/>
      <w:marTop w:val="0"/>
      <w:marBottom w:val="0"/>
      <w:divBdr>
        <w:top w:val="none" w:sz="0" w:space="0" w:color="auto"/>
        <w:left w:val="none" w:sz="0" w:space="0" w:color="auto"/>
        <w:bottom w:val="none" w:sz="0" w:space="0" w:color="auto"/>
        <w:right w:val="none" w:sz="0" w:space="0" w:color="auto"/>
      </w:divBdr>
    </w:div>
    <w:div w:id="1265727648">
      <w:bodyDiv w:val="1"/>
      <w:marLeft w:val="0"/>
      <w:marRight w:val="0"/>
      <w:marTop w:val="0"/>
      <w:marBottom w:val="0"/>
      <w:divBdr>
        <w:top w:val="none" w:sz="0" w:space="0" w:color="auto"/>
        <w:left w:val="none" w:sz="0" w:space="0" w:color="auto"/>
        <w:bottom w:val="none" w:sz="0" w:space="0" w:color="auto"/>
        <w:right w:val="none" w:sz="0" w:space="0" w:color="auto"/>
      </w:divBdr>
    </w:div>
    <w:div w:id="1267075068">
      <w:bodyDiv w:val="1"/>
      <w:marLeft w:val="0"/>
      <w:marRight w:val="0"/>
      <w:marTop w:val="0"/>
      <w:marBottom w:val="0"/>
      <w:divBdr>
        <w:top w:val="none" w:sz="0" w:space="0" w:color="auto"/>
        <w:left w:val="none" w:sz="0" w:space="0" w:color="auto"/>
        <w:bottom w:val="none" w:sz="0" w:space="0" w:color="auto"/>
        <w:right w:val="none" w:sz="0" w:space="0" w:color="auto"/>
      </w:divBdr>
    </w:div>
    <w:div w:id="1278635835">
      <w:bodyDiv w:val="1"/>
      <w:marLeft w:val="0"/>
      <w:marRight w:val="0"/>
      <w:marTop w:val="0"/>
      <w:marBottom w:val="0"/>
      <w:divBdr>
        <w:top w:val="none" w:sz="0" w:space="0" w:color="auto"/>
        <w:left w:val="none" w:sz="0" w:space="0" w:color="auto"/>
        <w:bottom w:val="none" w:sz="0" w:space="0" w:color="auto"/>
        <w:right w:val="none" w:sz="0" w:space="0" w:color="auto"/>
      </w:divBdr>
    </w:div>
    <w:div w:id="1280798799">
      <w:bodyDiv w:val="1"/>
      <w:marLeft w:val="0"/>
      <w:marRight w:val="0"/>
      <w:marTop w:val="0"/>
      <w:marBottom w:val="0"/>
      <w:divBdr>
        <w:top w:val="none" w:sz="0" w:space="0" w:color="auto"/>
        <w:left w:val="none" w:sz="0" w:space="0" w:color="auto"/>
        <w:bottom w:val="none" w:sz="0" w:space="0" w:color="auto"/>
        <w:right w:val="none" w:sz="0" w:space="0" w:color="auto"/>
      </w:divBdr>
    </w:div>
    <w:div w:id="1282955336">
      <w:bodyDiv w:val="1"/>
      <w:marLeft w:val="0"/>
      <w:marRight w:val="0"/>
      <w:marTop w:val="0"/>
      <w:marBottom w:val="0"/>
      <w:divBdr>
        <w:top w:val="none" w:sz="0" w:space="0" w:color="auto"/>
        <w:left w:val="none" w:sz="0" w:space="0" w:color="auto"/>
        <w:bottom w:val="none" w:sz="0" w:space="0" w:color="auto"/>
        <w:right w:val="none" w:sz="0" w:space="0" w:color="auto"/>
      </w:divBdr>
    </w:div>
    <w:div w:id="1283149945">
      <w:bodyDiv w:val="1"/>
      <w:marLeft w:val="0"/>
      <w:marRight w:val="0"/>
      <w:marTop w:val="0"/>
      <w:marBottom w:val="0"/>
      <w:divBdr>
        <w:top w:val="none" w:sz="0" w:space="0" w:color="auto"/>
        <w:left w:val="none" w:sz="0" w:space="0" w:color="auto"/>
        <w:bottom w:val="none" w:sz="0" w:space="0" w:color="auto"/>
        <w:right w:val="none" w:sz="0" w:space="0" w:color="auto"/>
      </w:divBdr>
    </w:div>
    <w:div w:id="1284505786">
      <w:bodyDiv w:val="1"/>
      <w:marLeft w:val="0"/>
      <w:marRight w:val="0"/>
      <w:marTop w:val="0"/>
      <w:marBottom w:val="0"/>
      <w:divBdr>
        <w:top w:val="none" w:sz="0" w:space="0" w:color="auto"/>
        <w:left w:val="none" w:sz="0" w:space="0" w:color="auto"/>
        <w:bottom w:val="none" w:sz="0" w:space="0" w:color="auto"/>
        <w:right w:val="none" w:sz="0" w:space="0" w:color="auto"/>
      </w:divBdr>
    </w:div>
    <w:div w:id="1288508078">
      <w:bodyDiv w:val="1"/>
      <w:marLeft w:val="0"/>
      <w:marRight w:val="0"/>
      <w:marTop w:val="0"/>
      <w:marBottom w:val="0"/>
      <w:divBdr>
        <w:top w:val="none" w:sz="0" w:space="0" w:color="auto"/>
        <w:left w:val="none" w:sz="0" w:space="0" w:color="auto"/>
        <w:bottom w:val="none" w:sz="0" w:space="0" w:color="auto"/>
        <w:right w:val="none" w:sz="0" w:space="0" w:color="auto"/>
      </w:divBdr>
    </w:div>
    <w:div w:id="1291668099">
      <w:bodyDiv w:val="1"/>
      <w:marLeft w:val="0"/>
      <w:marRight w:val="0"/>
      <w:marTop w:val="0"/>
      <w:marBottom w:val="0"/>
      <w:divBdr>
        <w:top w:val="none" w:sz="0" w:space="0" w:color="auto"/>
        <w:left w:val="none" w:sz="0" w:space="0" w:color="auto"/>
        <w:bottom w:val="none" w:sz="0" w:space="0" w:color="auto"/>
        <w:right w:val="none" w:sz="0" w:space="0" w:color="auto"/>
      </w:divBdr>
    </w:div>
    <w:div w:id="1292051516">
      <w:bodyDiv w:val="1"/>
      <w:marLeft w:val="0"/>
      <w:marRight w:val="0"/>
      <w:marTop w:val="0"/>
      <w:marBottom w:val="0"/>
      <w:divBdr>
        <w:top w:val="none" w:sz="0" w:space="0" w:color="auto"/>
        <w:left w:val="none" w:sz="0" w:space="0" w:color="auto"/>
        <w:bottom w:val="none" w:sz="0" w:space="0" w:color="auto"/>
        <w:right w:val="none" w:sz="0" w:space="0" w:color="auto"/>
      </w:divBdr>
    </w:div>
    <w:div w:id="1293441538">
      <w:bodyDiv w:val="1"/>
      <w:marLeft w:val="0"/>
      <w:marRight w:val="0"/>
      <w:marTop w:val="0"/>
      <w:marBottom w:val="0"/>
      <w:divBdr>
        <w:top w:val="none" w:sz="0" w:space="0" w:color="auto"/>
        <w:left w:val="none" w:sz="0" w:space="0" w:color="auto"/>
        <w:bottom w:val="none" w:sz="0" w:space="0" w:color="auto"/>
        <w:right w:val="none" w:sz="0" w:space="0" w:color="auto"/>
      </w:divBdr>
    </w:div>
    <w:div w:id="1313831212">
      <w:bodyDiv w:val="1"/>
      <w:marLeft w:val="0"/>
      <w:marRight w:val="0"/>
      <w:marTop w:val="0"/>
      <w:marBottom w:val="0"/>
      <w:divBdr>
        <w:top w:val="none" w:sz="0" w:space="0" w:color="auto"/>
        <w:left w:val="none" w:sz="0" w:space="0" w:color="auto"/>
        <w:bottom w:val="none" w:sz="0" w:space="0" w:color="auto"/>
        <w:right w:val="none" w:sz="0" w:space="0" w:color="auto"/>
      </w:divBdr>
    </w:div>
    <w:div w:id="1316912752">
      <w:bodyDiv w:val="1"/>
      <w:marLeft w:val="0"/>
      <w:marRight w:val="0"/>
      <w:marTop w:val="0"/>
      <w:marBottom w:val="0"/>
      <w:divBdr>
        <w:top w:val="none" w:sz="0" w:space="0" w:color="auto"/>
        <w:left w:val="none" w:sz="0" w:space="0" w:color="auto"/>
        <w:bottom w:val="none" w:sz="0" w:space="0" w:color="auto"/>
        <w:right w:val="none" w:sz="0" w:space="0" w:color="auto"/>
      </w:divBdr>
    </w:div>
    <w:div w:id="1326741103">
      <w:bodyDiv w:val="1"/>
      <w:marLeft w:val="0"/>
      <w:marRight w:val="0"/>
      <w:marTop w:val="0"/>
      <w:marBottom w:val="0"/>
      <w:divBdr>
        <w:top w:val="none" w:sz="0" w:space="0" w:color="auto"/>
        <w:left w:val="none" w:sz="0" w:space="0" w:color="auto"/>
        <w:bottom w:val="none" w:sz="0" w:space="0" w:color="auto"/>
        <w:right w:val="none" w:sz="0" w:space="0" w:color="auto"/>
      </w:divBdr>
    </w:div>
    <w:div w:id="1327830453">
      <w:bodyDiv w:val="1"/>
      <w:marLeft w:val="0"/>
      <w:marRight w:val="0"/>
      <w:marTop w:val="0"/>
      <w:marBottom w:val="0"/>
      <w:divBdr>
        <w:top w:val="none" w:sz="0" w:space="0" w:color="auto"/>
        <w:left w:val="none" w:sz="0" w:space="0" w:color="auto"/>
        <w:bottom w:val="none" w:sz="0" w:space="0" w:color="auto"/>
        <w:right w:val="none" w:sz="0" w:space="0" w:color="auto"/>
      </w:divBdr>
    </w:div>
    <w:div w:id="1331643870">
      <w:bodyDiv w:val="1"/>
      <w:marLeft w:val="0"/>
      <w:marRight w:val="0"/>
      <w:marTop w:val="0"/>
      <w:marBottom w:val="0"/>
      <w:divBdr>
        <w:top w:val="none" w:sz="0" w:space="0" w:color="auto"/>
        <w:left w:val="none" w:sz="0" w:space="0" w:color="auto"/>
        <w:bottom w:val="none" w:sz="0" w:space="0" w:color="auto"/>
        <w:right w:val="none" w:sz="0" w:space="0" w:color="auto"/>
      </w:divBdr>
    </w:div>
    <w:div w:id="1342006683">
      <w:bodyDiv w:val="1"/>
      <w:marLeft w:val="0"/>
      <w:marRight w:val="0"/>
      <w:marTop w:val="0"/>
      <w:marBottom w:val="0"/>
      <w:divBdr>
        <w:top w:val="none" w:sz="0" w:space="0" w:color="auto"/>
        <w:left w:val="none" w:sz="0" w:space="0" w:color="auto"/>
        <w:bottom w:val="none" w:sz="0" w:space="0" w:color="auto"/>
        <w:right w:val="none" w:sz="0" w:space="0" w:color="auto"/>
      </w:divBdr>
    </w:div>
    <w:div w:id="1342515052">
      <w:bodyDiv w:val="1"/>
      <w:marLeft w:val="0"/>
      <w:marRight w:val="0"/>
      <w:marTop w:val="0"/>
      <w:marBottom w:val="0"/>
      <w:divBdr>
        <w:top w:val="none" w:sz="0" w:space="0" w:color="auto"/>
        <w:left w:val="none" w:sz="0" w:space="0" w:color="auto"/>
        <w:bottom w:val="none" w:sz="0" w:space="0" w:color="auto"/>
        <w:right w:val="none" w:sz="0" w:space="0" w:color="auto"/>
      </w:divBdr>
    </w:div>
    <w:div w:id="1366636895">
      <w:bodyDiv w:val="1"/>
      <w:marLeft w:val="0"/>
      <w:marRight w:val="0"/>
      <w:marTop w:val="0"/>
      <w:marBottom w:val="0"/>
      <w:divBdr>
        <w:top w:val="none" w:sz="0" w:space="0" w:color="auto"/>
        <w:left w:val="none" w:sz="0" w:space="0" w:color="auto"/>
        <w:bottom w:val="none" w:sz="0" w:space="0" w:color="auto"/>
        <w:right w:val="none" w:sz="0" w:space="0" w:color="auto"/>
      </w:divBdr>
    </w:div>
    <w:div w:id="1367294335">
      <w:bodyDiv w:val="1"/>
      <w:marLeft w:val="0"/>
      <w:marRight w:val="0"/>
      <w:marTop w:val="0"/>
      <w:marBottom w:val="0"/>
      <w:divBdr>
        <w:top w:val="none" w:sz="0" w:space="0" w:color="auto"/>
        <w:left w:val="none" w:sz="0" w:space="0" w:color="auto"/>
        <w:bottom w:val="none" w:sz="0" w:space="0" w:color="auto"/>
        <w:right w:val="none" w:sz="0" w:space="0" w:color="auto"/>
      </w:divBdr>
    </w:div>
    <w:div w:id="1372803619">
      <w:bodyDiv w:val="1"/>
      <w:marLeft w:val="0"/>
      <w:marRight w:val="0"/>
      <w:marTop w:val="0"/>
      <w:marBottom w:val="0"/>
      <w:divBdr>
        <w:top w:val="none" w:sz="0" w:space="0" w:color="auto"/>
        <w:left w:val="none" w:sz="0" w:space="0" w:color="auto"/>
        <w:bottom w:val="none" w:sz="0" w:space="0" w:color="auto"/>
        <w:right w:val="none" w:sz="0" w:space="0" w:color="auto"/>
      </w:divBdr>
    </w:div>
    <w:div w:id="1373119538">
      <w:bodyDiv w:val="1"/>
      <w:marLeft w:val="0"/>
      <w:marRight w:val="0"/>
      <w:marTop w:val="0"/>
      <w:marBottom w:val="0"/>
      <w:divBdr>
        <w:top w:val="none" w:sz="0" w:space="0" w:color="auto"/>
        <w:left w:val="none" w:sz="0" w:space="0" w:color="auto"/>
        <w:bottom w:val="none" w:sz="0" w:space="0" w:color="auto"/>
        <w:right w:val="none" w:sz="0" w:space="0" w:color="auto"/>
      </w:divBdr>
    </w:div>
    <w:div w:id="1375622013">
      <w:bodyDiv w:val="1"/>
      <w:marLeft w:val="0"/>
      <w:marRight w:val="0"/>
      <w:marTop w:val="0"/>
      <w:marBottom w:val="0"/>
      <w:divBdr>
        <w:top w:val="none" w:sz="0" w:space="0" w:color="auto"/>
        <w:left w:val="none" w:sz="0" w:space="0" w:color="auto"/>
        <w:bottom w:val="none" w:sz="0" w:space="0" w:color="auto"/>
        <w:right w:val="none" w:sz="0" w:space="0" w:color="auto"/>
      </w:divBdr>
    </w:div>
    <w:div w:id="1377467104">
      <w:bodyDiv w:val="1"/>
      <w:marLeft w:val="0"/>
      <w:marRight w:val="0"/>
      <w:marTop w:val="0"/>
      <w:marBottom w:val="0"/>
      <w:divBdr>
        <w:top w:val="none" w:sz="0" w:space="0" w:color="auto"/>
        <w:left w:val="none" w:sz="0" w:space="0" w:color="auto"/>
        <w:bottom w:val="none" w:sz="0" w:space="0" w:color="auto"/>
        <w:right w:val="none" w:sz="0" w:space="0" w:color="auto"/>
      </w:divBdr>
    </w:div>
    <w:div w:id="1381593276">
      <w:bodyDiv w:val="1"/>
      <w:marLeft w:val="0"/>
      <w:marRight w:val="0"/>
      <w:marTop w:val="0"/>
      <w:marBottom w:val="0"/>
      <w:divBdr>
        <w:top w:val="none" w:sz="0" w:space="0" w:color="auto"/>
        <w:left w:val="none" w:sz="0" w:space="0" w:color="auto"/>
        <w:bottom w:val="none" w:sz="0" w:space="0" w:color="auto"/>
        <w:right w:val="none" w:sz="0" w:space="0" w:color="auto"/>
      </w:divBdr>
    </w:div>
    <w:div w:id="1392078972">
      <w:bodyDiv w:val="1"/>
      <w:marLeft w:val="0"/>
      <w:marRight w:val="0"/>
      <w:marTop w:val="0"/>
      <w:marBottom w:val="0"/>
      <w:divBdr>
        <w:top w:val="none" w:sz="0" w:space="0" w:color="auto"/>
        <w:left w:val="none" w:sz="0" w:space="0" w:color="auto"/>
        <w:bottom w:val="none" w:sz="0" w:space="0" w:color="auto"/>
        <w:right w:val="none" w:sz="0" w:space="0" w:color="auto"/>
      </w:divBdr>
    </w:div>
    <w:div w:id="1393045863">
      <w:bodyDiv w:val="1"/>
      <w:marLeft w:val="0"/>
      <w:marRight w:val="0"/>
      <w:marTop w:val="0"/>
      <w:marBottom w:val="0"/>
      <w:divBdr>
        <w:top w:val="none" w:sz="0" w:space="0" w:color="auto"/>
        <w:left w:val="none" w:sz="0" w:space="0" w:color="auto"/>
        <w:bottom w:val="none" w:sz="0" w:space="0" w:color="auto"/>
        <w:right w:val="none" w:sz="0" w:space="0" w:color="auto"/>
      </w:divBdr>
    </w:div>
    <w:div w:id="1396859596">
      <w:bodyDiv w:val="1"/>
      <w:marLeft w:val="0"/>
      <w:marRight w:val="0"/>
      <w:marTop w:val="0"/>
      <w:marBottom w:val="0"/>
      <w:divBdr>
        <w:top w:val="none" w:sz="0" w:space="0" w:color="auto"/>
        <w:left w:val="none" w:sz="0" w:space="0" w:color="auto"/>
        <w:bottom w:val="none" w:sz="0" w:space="0" w:color="auto"/>
        <w:right w:val="none" w:sz="0" w:space="0" w:color="auto"/>
      </w:divBdr>
    </w:div>
    <w:div w:id="1399085118">
      <w:bodyDiv w:val="1"/>
      <w:marLeft w:val="0"/>
      <w:marRight w:val="0"/>
      <w:marTop w:val="0"/>
      <w:marBottom w:val="0"/>
      <w:divBdr>
        <w:top w:val="none" w:sz="0" w:space="0" w:color="auto"/>
        <w:left w:val="none" w:sz="0" w:space="0" w:color="auto"/>
        <w:bottom w:val="none" w:sz="0" w:space="0" w:color="auto"/>
        <w:right w:val="none" w:sz="0" w:space="0" w:color="auto"/>
      </w:divBdr>
    </w:div>
    <w:div w:id="1414279630">
      <w:bodyDiv w:val="1"/>
      <w:marLeft w:val="0"/>
      <w:marRight w:val="0"/>
      <w:marTop w:val="0"/>
      <w:marBottom w:val="0"/>
      <w:divBdr>
        <w:top w:val="none" w:sz="0" w:space="0" w:color="auto"/>
        <w:left w:val="none" w:sz="0" w:space="0" w:color="auto"/>
        <w:bottom w:val="none" w:sz="0" w:space="0" w:color="auto"/>
        <w:right w:val="none" w:sz="0" w:space="0" w:color="auto"/>
      </w:divBdr>
    </w:div>
    <w:div w:id="1449932373">
      <w:bodyDiv w:val="1"/>
      <w:marLeft w:val="0"/>
      <w:marRight w:val="0"/>
      <w:marTop w:val="0"/>
      <w:marBottom w:val="0"/>
      <w:divBdr>
        <w:top w:val="none" w:sz="0" w:space="0" w:color="auto"/>
        <w:left w:val="none" w:sz="0" w:space="0" w:color="auto"/>
        <w:bottom w:val="none" w:sz="0" w:space="0" w:color="auto"/>
        <w:right w:val="none" w:sz="0" w:space="0" w:color="auto"/>
      </w:divBdr>
    </w:div>
    <w:div w:id="1455372019">
      <w:bodyDiv w:val="1"/>
      <w:marLeft w:val="0"/>
      <w:marRight w:val="0"/>
      <w:marTop w:val="0"/>
      <w:marBottom w:val="0"/>
      <w:divBdr>
        <w:top w:val="none" w:sz="0" w:space="0" w:color="auto"/>
        <w:left w:val="none" w:sz="0" w:space="0" w:color="auto"/>
        <w:bottom w:val="none" w:sz="0" w:space="0" w:color="auto"/>
        <w:right w:val="none" w:sz="0" w:space="0" w:color="auto"/>
      </w:divBdr>
    </w:div>
    <w:div w:id="1464544287">
      <w:bodyDiv w:val="1"/>
      <w:marLeft w:val="0"/>
      <w:marRight w:val="0"/>
      <w:marTop w:val="0"/>
      <w:marBottom w:val="0"/>
      <w:divBdr>
        <w:top w:val="none" w:sz="0" w:space="0" w:color="auto"/>
        <w:left w:val="none" w:sz="0" w:space="0" w:color="auto"/>
        <w:bottom w:val="none" w:sz="0" w:space="0" w:color="auto"/>
        <w:right w:val="none" w:sz="0" w:space="0" w:color="auto"/>
      </w:divBdr>
    </w:div>
    <w:div w:id="1466310337">
      <w:bodyDiv w:val="1"/>
      <w:marLeft w:val="0"/>
      <w:marRight w:val="0"/>
      <w:marTop w:val="0"/>
      <w:marBottom w:val="0"/>
      <w:divBdr>
        <w:top w:val="none" w:sz="0" w:space="0" w:color="auto"/>
        <w:left w:val="none" w:sz="0" w:space="0" w:color="auto"/>
        <w:bottom w:val="none" w:sz="0" w:space="0" w:color="auto"/>
        <w:right w:val="none" w:sz="0" w:space="0" w:color="auto"/>
      </w:divBdr>
    </w:div>
    <w:div w:id="1467040802">
      <w:bodyDiv w:val="1"/>
      <w:marLeft w:val="0"/>
      <w:marRight w:val="0"/>
      <w:marTop w:val="0"/>
      <w:marBottom w:val="0"/>
      <w:divBdr>
        <w:top w:val="none" w:sz="0" w:space="0" w:color="auto"/>
        <w:left w:val="none" w:sz="0" w:space="0" w:color="auto"/>
        <w:bottom w:val="none" w:sz="0" w:space="0" w:color="auto"/>
        <w:right w:val="none" w:sz="0" w:space="0" w:color="auto"/>
      </w:divBdr>
    </w:div>
    <w:div w:id="1478110862">
      <w:bodyDiv w:val="1"/>
      <w:marLeft w:val="0"/>
      <w:marRight w:val="0"/>
      <w:marTop w:val="0"/>
      <w:marBottom w:val="0"/>
      <w:divBdr>
        <w:top w:val="none" w:sz="0" w:space="0" w:color="auto"/>
        <w:left w:val="none" w:sz="0" w:space="0" w:color="auto"/>
        <w:bottom w:val="none" w:sz="0" w:space="0" w:color="auto"/>
        <w:right w:val="none" w:sz="0" w:space="0" w:color="auto"/>
      </w:divBdr>
    </w:div>
    <w:div w:id="1482573938">
      <w:bodyDiv w:val="1"/>
      <w:marLeft w:val="0"/>
      <w:marRight w:val="0"/>
      <w:marTop w:val="0"/>
      <w:marBottom w:val="0"/>
      <w:divBdr>
        <w:top w:val="none" w:sz="0" w:space="0" w:color="auto"/>
        <w:left w:val="none" w:sz="0" w:space="0" w:color="auto"/>
        <w:bottom w:val="none" w:sz="0" w:space="0" w:color="auto"/>
        <w:right w:val="none" w:sz="0" w:space="0" w:color="auto"/>
      </w:divBdr>
    </w:div>
    <w:div w:id="1486357090">
      <w:bodyDiv w:val="1"/>
      <w:marLeft w:val="0"/>
      <w:marRight w:val="0"/>
      <w:marTop w:val="0"/>
      <w:marBottom w:val="0"/>
      <w:divBdr>
        <w:top w:val="none" w:sz="0" w:space="0" w:color="auto"/>
        <w:left w:val="none" w:sz="0" w:space="0" w:color="auto"/>
        <w:bottom w:val="none" w:sz="0" w:space="0" w:color="auto"/>
        <w:right w:val="none" w:sz="0" w:space="0" w:color="auto"/>
      </w:divBdr>
    </w:div>
    <w:div w:id="1487278806">
      <w:bodyDiv w:val="1"/>
      <w:marLeft w:val="0"/>
      <w:marRight w:val="0"/>
      <w:marTop w:val="0"/>
      <w:marBottom w:val="0"/>
      <w:divBdr>
        <w:top w:val="none" w:sz="0" w:space="0" w:color="auto"/>
        <w:left w:val="none" w:sz="0" w:space="0" w:color="auto"/>
        <w:bottom w:val="none" w:sz="0" w:space="0" w:color="auto"/>
        <w:right w:val="none" w:sz="0" w:space="0" w:color="auto"/>
      </w:divBdr>
    </w:div>
    <w:div w:id="1488011943">
      <w:bodyDiv w:val="1"/>
      <w:marLeft w:val="0"/>
      <w:marRight w:val="0"/>
      <w:marTop w:val="0"/>
      <w:marBottom w:val="0"/>
      <w:divBdr>
        <w:top w:val="none" w:sz="0" w:space="0" w:color="auto"/>
        <w:left w:val="none" w:sz="0" w:space="0" w:color="auto"/>
        <w:bottom w:val="none" w:sz="0" w:space="0" w:color="auto"/>
        <w:right w:val="none" w:sz="0" w:space="0" w:color="auto"/>
      </w:divBdr>
    </w:div>
    <w:div w:id="1491561152">
      <w:bodyDiv w:val="1"/>
      <w:marLeft w:val="0"/>
      <w:marRight w:val="0"/>
      <w:marTop w:val="0"/>
      <w:marBottom w:val="0"/>
      <w:divBdr>
        <w:top w:val="none" w:sz="0" w:space="0" w:color="auto"/>
        <w:left w:val="none" w:sz="0" w:space="0" w:color="auto"/>
        <w:bottom w:val="none" w:sz="0" w:space="0" w:color="auto"/>
        <w:right w:val="none" w:sz="0" w:space="0" w:color="auto"/>
      </w:divBdr>
    </w:div>
    <w:div w:id="1494566056">
      <w:bodyDiv w:val="1"/>
      <w:marLeft w:val="0"/>
      <w:marRight w:val="0"/>
      <w:marTop w:val="0"/>
      <w:marBottom w:val="0"/>
      <w:divBdr>
        <w:top w:val="none" w:sz="0" w:space="0" w:color="auto"/>
        <w:left w:val="none" w:sz="0" w:space="0" w:color="auto"/>
        <w:bottom w:val="none" w:sz="0" w:space="0" w:color="auto"/>
        <w:right w:val="none" w:sz="0" w:space="0" w:color="auto"/>
      </w:divBdr>
    </w:div>
    <w:div w:id="1495490587">
      <w:bodyDiv w:val="1"/>
      <w:marLeft w:val="0"/>
      <w:marRight w:val="0"/>
      <w:marTop w:val="0"/>
      <w:marBottom w:val="0"/>
      <w:divBdr>
        <w:top w:val="none" w:sz="0" w:space="0" w:color="auto"/>
        <w:left w:val="none" w:sz="0" w:space="0" w:color="auto"/>
        <w:bottom w:val="none" w:sz="0" w:space="0" w:color="auto"/>
        <w:right w:val="none" w:sz="0" w:space="0" w:color="auto"/>
      </w:divBdr>
    </w:div>
    <w:div w:id="1500196846">
      <w:bodyDiv w:val="1"/>
      <w:marLeft w:val="0"/>
      <w:marRight w:val="0"/>
      <w:marTop w:val="0"/>
      <w:marBottom w:val="0"/>
      <w:divBdr>
        <w:top w:val="none" w:sz="0" w:space="0" w:color="auto"/>
        <w:left w:val="none" w:sz="0" w:space="0" w:color="auto"/>
        <w:bottom w:val="none" w:sz="0" w:space="0" w:color="auto"/>
        <w:right w:val="none" w:sz="0" w:space="0" w:color="auto"/>
      </w:divBdr>
    </w:div>
    <w:div w:id="1500273704">
      <w:bodyDiv w:val="1"/>
      <w:marLeft w:val="0"/>
      <w:marRight w:val="0"/>
      <w:marTop w:val="0"/>
      <w:marBottom w:val="0"/>
      <w:divBdr>
        <w:top w:val="none" w:sz="0" w:space="0" w:color="auto"/>
        <w:left w:val="none" w:sz="0" w:space="0" w:color="auto"/>
        <w:bottom w:val="none" w:sz="0" w:space="0" w:color="auto"/>
        <w:right w:val="none" w:sz="0" w:space="0" w:color="auto"/>
      </w:divBdr>
    </w:div>
    <w:div w:id="1506478121">
      <w:bodyDiv w:val="1"/>
      <w:marLeft w:val="0"/>
      <w:marRight w:val="0"/>
      <w:marTop w:val="0"/>
      <w:marBottom w:val="0"/>
      <w:divBdr>
        <w:top w:val="none" w:sz="0" w:space="0" w:color="auto"/>
        <w:left w:val="none" w:sz="0" w:space="0" w:color="auto"/>
        <w:bottom w:val="none" w:sz="0" w:space="0" w:color="auto"/>
        <w:right w:val="none" w:sz="0" w:space="0" w:color="auto"/>
      </w:divBdr>
    </w:div>
    <w:div w:id="1506703659">
      <w:bodyDiv w:val="1"/>
      <w:marLeft w:val="0"/>
      <w:marRight w:val="0"/>
      <w:marTop w:val="0"/>
      <w:marBottom w:val="0"/>
      <w:divBdr>
        <w:top w:val="none" w:sz="0" w:space="0" w:color="auto"/>
        <w:left w:val="none" w:sz="0" w:space="0" w:color="auto"/>
        <w:bottom w:val="none" w:sz="0" w:space="0" w:color="auto"/>
        <w:right w:val="none" w:sz="0" w:space="0" w:color="auto"/>
      </w:divBdr>
    </w:div>
    <w:div w:id="1507596602">
      <w:bodyDiv w:val="1"/>
      <w:marLeft w:val="0"/>
      <w:marRight w:val="0"/>
      <w:marTop w:val="0"/>
      <w:marBottom w:val="0"/>
      <w:divBdr>
        <w:top w:val="none" w:sz="0" w:space="0" w:color="auto"/>
        <w:left w:val="none" w:sz="0" w:space="0" w:color="auto"/>
        <w:bottom w:val="none" w:sz="0" w:space="0" w:color="auto"/>
        <w:right w:val="none" w:sz="0" w:space="0" w:color="auto"/>
      </w:divBdr>
    </w:div>
    <w:div w:id="1513453381">
      <w:bodyDiv w:val="1"/>
      <w:marLeft w:val="0"/>
      <w:marRight w:val="0"/>
      <w:marTop w:val="0"/>
      <w:marBottom w:val="0"/>
      <w:divBdr>
        <w:top w:val="none" w:sz="0" w:space="0" w:color="auto"/>
        <w:left w:val="none" w:sz="0" w:space="0" w:color="auto"/>
        <w:bottom w:val="none" w:sz="0" w:space="0" w:color="auto"/>
        <w:right w:val="none" w:sz="0" w:space="0" w:color="auto"/>
      </w:divBdr>
    </w:div>
    <w:div w:id="1519735792">
      <w:bodyDiv w:val="1"/>
      <w:marLeft w:val="0"/>
      <w:marRight w:val="0"/>
      <w:marTop w:val="0"/>
      <w:marBottom w:val="0"/>
      <w:divBdr>
        <w:top w:val="none" w:sz="0" w:space="0" w:color="auto"/>
        <w:left w:val="none" w:sz="0" w:space="0" w:color="auto"/>
        <w:bottom w:val="none" w:sz="0" w:space="0" w:color="auto"/>
        <w:right w:val="none" w:sz="0" w:space="0" w:color="auto"/>
      </w:divBdr>
    </w:div>
    <w:div w:id="1521116715">
      <w:bodyDiv w:val="1"/>
      <w:marLeft w:val="0"/>
      <w:marRight w:val="0"/>
      <w:marTop w:val="0"/>
      <w:marBottom w:val="0"/>
      <w:divBdr>
        <w:top w:val="none" w:sz="0" w:space="0" w:color="auto"/>
        <w:left w:val="none" w:sz="0" w:space="0" w:color="auto"/>
        <w:bottom w:val="none" w:sz="0" w:space="0" w:color="auto"/>
        <w:right w:val="none" w:sz="0" w:space="0" w:color="auto"/>
      </w:divBdr>
    </w:div>
    <w:div w:id="1525707318">
      <w:bodyDiv w:val="1"/>
      <w:marLeft w:val="0"/>
      <w:marRight w:val="0"/>
      <w:marTop w:val="0"/>
      <w:marBottom w:val="0"/>
      <w:divBdr>
        <w:top w:val="none" w:sz="0" w:space="0" w:color="auto"/>
        <w:left w:val="none" w:sz="0" w:space="0" w:color="auto"/>
        <w:bottom w:val="none" w:sz="0" w:space="0" w:color="auto"/>
        <w:right w:val="none" w:sz="0" w:space="0" w:color="auto"/>
      </w:divBdr>
    </w:div>
    <w:div w:id="1530338627">
      <w:bodyDiv w:val="1"/>
      <w:marLeft w:val="0"/>
      <w:marRight w:val="0"/>
      <w:marTop w:val="0"/>
      <w:marBottom w:val="0"/>
      <w:divBdr>
        <w:top w:val="none" w:sz="0" w:space="0" w:color="auto"/>
        <w:left w:val="none" w:sz="0" w:space="0" w:color="auto"/>
        <w:bottom w:val="none" w:sz="0" w:space="0" w:color="auto"/>
        <w:right w:val="none" w:sz="0" w:space="0" w:color="auto"/>
      </w:divBdr>
    </w:div>
    <w:div w:id="1536772303">
      <w:bodyDiv w:val="1"/>
      <w:marLeft w:val="0"/>
      <w:marRight w:val="0"/>
      <w:marTop w:val="0"/>
      <w:marBottom w:val="0"/>
      <w:divBdr>
        <w:top w:val="none" w:sz="0" w:space="0" w:color="auto"/>
        <w:left w:val="none" w:sz="0" w:space="0" w:color="auto"/>
        <w:bottom w:val="none" w:sz="0" w:space="0" w:color="auto"/>
        <w:right w:val="none" w:sz="0" w:space="0" w:color="auto"/>
      </w:divBdr>
    </w:div>
    <w:div w:id="1542788356">
      <w:bodyDiv w:val="1"/>
      <w:marLeft w:val="0"/>
      <w:marRight w:val="0"/>
      <w:marTop w:val="0"/>
      <w:marBottom w:val="0"/>
      <w:divBdr>
        <w:top w:val="none" w:sz="0" w:space="0" w:color="auto"/>
        <w:left w:val="none" w:sz="0" w:space="0" w:color="auto"/>
        <w:bottom w:val="none" w:sz="0" w:space="0" w:color="auto"/>
        <w:right w:val="none" w:sz="0" w:space="0" w:color="auto"/>
      </w:divBdr>
    </w:div>
    <w:div w:id="1546257011">
      <w:bodyDiv w:val="1"/>
      <w:marLeft w:val="0"/>
      <w:marRight w:val="0"/>
      <w:marTop w:val="0"/>
      <w:marBottom w:val="0"/>
      <w:divBdr>
        <w:top w:val="none" w:sz="0" w:space="0" w:color="auto"/>
        <w:left w:val="none" w:sz="0" w:space="0" w:color="auto"/>
        <w:bottom w:val="none" w:sz="0" w:space="0" w:color="auto"/>
        <w:right w:val="none" w:sz="0" w:space="0" w:color="auto"/>
      </w:divBdr>
    </w:div>
    <w:div w:id="1550144722">
      <w:bodyDiv w:val="1"/>
      <w:marLeft w:val="0"/>
      <w:marRight w:val="0"/>
      <w:marTop w:val="0"/>
      <w:marBottom w:val="0"/>
      <w:divBdr>
        <w:top w:val="none" w:sz="0" w:space="0" w:color="auto"/>
        <w:left w:val="none" w:sz="0" w:space="0" w:color="auto"/>
        <w:bottom w:val="none" w:sz="0" w:space="0" w:color="auto"/>
        <w:right w:val="none" w:sz="0" w:space="0" w:color="auto"/>
      </w:divBdr>
    </w:div>
    <w:div w:id="1551578141">
      <w:bodyDiv w:val="1"/>
      <w:marLeft w:val="0"/>
      <w:marRight w:val="0"/>
      <w:marTop w:val="0"/>
      <w:marBottom w:val="0"/>
      <w:divBdr>
        <w:top w:val="none" w:sz="0" w:space="0" w:color="auto"/>
        <w:left w:val="none" w:sz="0" w:space="0" w:color="auto"/>
        <w:bottom w:val="none" w:sz="0" w:space="0" w:color="auto"/>
        <w:right w:val="none" w:sz="0" w:space="0" w:color="auto"/>
      </w:divBdr>
    </w:div>
    <w:div w:id="1555434369">
      <w:bodyDiv w:val="1"/>
      <w:marLeft w:val="0"/>
      <w:marRight w:val="0"/>
      <w:marTop w:val="0"/>
      <w:marBottom w:val="0"/>
      <w:divBdr>
        <w:top w:val="none" w:sz="0" w:space="0" w:color="auto"/>
        <w:left w:val="none" w:sz="0" w:space="0" w:color="auto"/>
        <w:bottom w:val="none" w:sz="0" w:space="0" w:color="auto"/>
        <w:right w:val="none" w:sz="0" w:space="0" w:color="auto"/>
      </w:divBdr>
    </w:div>
    <w:div w:id="1562447258">
      <w:bodyDiv w:val="1"/>
      <w:marLeft w:val="0"/>
      <w:marRight w:val="0"/>
      <w:marTop w:val="0"/>
      <w:marBottom w:val="0"/>
      <w:divBdr>
        <w:top w:val="none" w:sz="0" w:space="0" w:color="auto"/>
        <w:left w:val="none" w:sz="0" w:space="0" w:color="auto"/>
        <w:bottom w:val="none" w:sz="0" w:space="0" w:color="auto"/>
        <w:right w:val="none" w:sz="0" w:space="0" w:color="auto"/>
      </w:divBdr>
    </w:div>
    <w:div w:id="1562792567">
      <w:bodyDiv w:val="1"/>
      <w:marLeft w:val="0"/>
      <w:marRight w:val="0"/>
      <w:marTop w:val="0"/>
      <w:marBottom w:val="0"/>
      <w:divBdr>
        <w:top w:val="none" w:sz="0" w:space="0" w:color="auto"/>
        <w:left w:val="none" w:sz="0" w:space="0" w:color="auto"/>
        <w:bottom w:val="none" w:sz="0" w:space="0" w:color="auto"/>
        <w:right w:val="none" w:sz="0" w:space="0" w:color="auto"/>
      </w:divBdr>
    </w:div>
    <w:div w:id="1567690996">
      <w:bodyDiv w:val="1"/>
      <w:marLeft w:val="0"/>
      <w:marRight w:val="0"/>
      <w:marTop w:val="0"/>
      <w:marBottom w:val="0"/>
      <w:divBdr>
        <w:top w:val="none" w:sz="0" w:space="0" w:color="auto"/>
        <w:left w:val="none" w:sz="0" w:space="0" w:color="auto"/>
        <w:bottom w:val="none" w:sz="0" w:space="0" w:color="auto"/>
        <w:right w:val="none" w:sz="0" w:space="0" w:color="auto"/>
      </w:divBdr>
    </w:div>
    <w:div w:id="1568496577">
      <w:bodyDiv w:val="1"/>
      <w:marLeft w:val="0"/>
      <w:marRight w:val="0"/>
      <w:marTop w:val="0"/>
      <w:marBottom w:val="0"/>
      <w:divBdr>
        <w:top w:val="none" w:sz="0" w:space="0" w:color="auto"/>
        <w:left w:val="none" w:sz="0" w:space="0" w:color="auto"/>
        <w:bottom w:val="none" w:sz="0" w:space="0" w:color="auto"/>
        <w:right w:val="none" w:sz="0" w:space="0" w:color="auto"/>
      </w:divBdr>
    </w:div>
    <w:div w:id="1583023786">
      <w:bodyDiv w:val="1"/>
      <w:marLeft w:val="0"/>
      <w:marRight w:val="0"/>
      <w:marTop w:val="0"/>
      <w:marBottom w:val="0"/>
      <w:divBdr>
        <w:top w:val="none" w:sz="0" w:space="0" w:color="auto"/>
        <w:left w:val="none" w:sz="0" w:space="0" w:color="auto"/>
        <w:bottom w:val="none" w:sz="0" w:space="0" w:color="auto"/>
        <w:right w:val="none" w:sz="0" w:space="0" w:color="auto"/>
      </w:divBdr>
    </w:div>
    <w:div w:id="1586374435">
      <w:bodyDiv w:val="1"/>
      <w:marLeft w:val="0"/>
      <w:marRight w:val="0"/>
      <w:marTop w:val="0"/>
      <w:marBottom w:val="0"/>
      <w:divBdr>
        <w:top w:val="none" w:sz="0" w:space="0" w:color="auto"/>
        <w:left w:val="none" w:sz="0" w:space="0" w:color="auto"/>
        <w:bottom w:val="none" w:sz="0" w:space="0" w:color="auto"/>
        <w:right w:val="none" w:sz="0" w:space="0" w:color="auto"/>
      </w:divBdr>
    </w:div>
    <w:div w:id="1592229057">
      <w:bodyDiv w:val="1"/>
      <w:marLeft w:val="0"/>
      <w:marRight w:val="0"/>
      <w:marTop w:val="0"/>
      <w:marBottom w:val="0"/>
      <w:divBdr>
        <w:top w:val="none" w:sz="0" w:space="0" w:color="auto"/>
        <w:left w:val="none" w:sz="0" w:space="0" w:color="auto"/>
        <w:bottom w:val="none" w:sz="0" w:space="0" w:color="auto"/>
        <w:right w:val="none" w:sz="0" w:space="0" w:color="auto"/>
      </w:divBdr>
    </w:div>
    <w:div w:id="1593971996">
      <w:bodyDiv w:val="1"/>
      <w:marLeft w:val="0"/>
      <w:marRight w:val="0"/>
      <w:marTop w:val="0"/>
      <w:marBottom w:val="0"/>
      <w:divBdr>
        <w:top w:val="none" w:sz="0" w:space="0" w:color="auto"/>
        <w:left w:val="none" w:sz="0" w:space="0" w:color="auto"/>
        <w:bottom w:val="none" w:sz="0" w:space="0" w:color="auto"/>
        <w:right w:val="none" w:sz="0" w:space="0" w:color="auto"/>
      </w:divBdr>
    </w:div>
    <w:div w:id="1595481667">
      <w:bodyDiv w:val="1"/>
      <w:marLeft w:val="0"/>
      <w:marRight w:val="0"/>
      <w:marTop w:val="0"/>
      <w:marBottom w:val="0"/>
      <w:divBdr>
        <w:top w:val="none" w:sz="0" w:space="0" w:color="auto"/>
        <w:left w:val="none" w:sz="0" w:space="0" w:color="auto"/>
        <w:bottom w:val="none" w:sz="0" w:space="0" w:color="auto"/>
        <w:right w:val="none" w:sz="0" w:space="0" w:color="auto"/>
      </w:divBdr>
    </w:div>
    <w:div w:id="1602835491">
      <w:bodyDiv w:val="1"/>
      <w:marLeft w:val="0"/>
      <w:marRight w:val="0"/>
      <w:marTop w:val="0"/>
      <w:marBottom w:val="0"/>
      <w:divBdr>
        <w:top w:val="none" w:sz="0" w:space="0" w:color="auto"/>
        <w:left w:val="none" w:sz="0" w:space="0" w:color="auto"/>
        <w:bottom w:val="none" w:sz="0" w:space="0" w:color="auto"/>
        <w:right w:val="none" w:sz="0" w:space="0" w:color="auto"/>
      </w:divBdr>
    </w:div>
    <w:div w:id="1604877967">
      <w:bodyDiv w:val="1"/>
      <w:marLeft w:val="0"/>
      <w:marRight w:val="0"/>
      <w:marTop w:val="0"/>
      <w:marBottom w:val="0"/>
      <w:divBdr>
        <w:top w:val="none" w:sz="0" w:space="0" w:color="auto"/>
        <w:left w:val="none" w:sz="0" w:space="0" w:color="auto"/>
        <w:bottom w:val="none" w:sz="0" w:space="0" w:color="auto"/>
        <w:right w:val="none" w:sz="0" w:space="0" w:color="auto"/>
      </w:divBdr>
    </w:div>
    <w:div w:id="1609196639">
      <w:bodyDiv w:val="1"/>
      <w:marLeft w:val="0"/>
      <w:marRight w:val="0"/>
      <w:marTop w:val="0"/>
      <w:marBottom w:val="0"/>
      <w:divBdr>
        <w:top w:val="none" w:sz="0" w:space="0" w:color="auto"/>
        <w:left w:val="none" w:sz="0" w:space="0" w:color="auto"/>
        <w:bottom w:val="none" w:sz="0" w:space="0" w:color="auto"/>
        <w:right w:val="none" w:sz="0" w:space="0" w:color="auto"/>
      </w:divBdr>
    </w:div>
    <w:div w:id="1610311602">
      <w:bodyDiv w:val="1"/>
      <w:marLeft w:val="0"/>
      <w:marRight w:val="0"/>
      <w:marTop w:val="0"/>
      <w:marBottom w:val="0"/>
      <w:divBdr>
        <w:top w:val="none" w:sz="0" w:space="0" w:color="auto"/>
        <w:left w:val="none" w:sz="0" w:space="0" w:color="auto"/>
        <w:bottom w:val="none" w:sz="0" w:space="0" w:color="auto"/>
        <w:right w:val="none" w:sz="0" w:space="0" w:color="auto"/>
      </w:divBdr>
    </w:div>
    <w:div w:id="1625692564">
      <w:bodyDiv w:val="1"/>
      <w:marLeft w:val="0"/>
      <w:marRight w:val="0"/>
      <w:marTop w:val="0"/>
      <w:marBottom w:val="0"/>
      <w:divBdr>
        <w:top w:val="none" w:sz="0" w:space="0" w:color="auto"/>
        <w:left w:val="none" w:sz="0" w:space="0" w:color="auto"/>
        <w:bottom w:val="none" w:sz="0" w:space="0" w:color="auto"/>
        <w:right w:val="none" w:sz="0" w:space="0" w:color="auto"/>
      </w:divBdr>
    </w:div>
    <w:div w:id="1633092239">
      <w:bodyDiv w:val="1"/>
      <w:marLeft w:val="0"/>
      <w:marRight w:val="0"/>
      <w:marTop w:val="0"/>
      <w:marBottom w:val="0"/>
      <w:divBdr>
        <w:top w:val="none" w:sz="0" w:space="0" w:color="auto"/>
        <w:left w:val="none" w:sz="0" w:space="0" w:color="auto"/>
        <w:bottom w:val="none" w:sz="0" w:space="0" w:color="auto"/>
        <w:right w:val="none" w:sz="0" w:space="0" w:color="auto"/>
      </w:divBdr>
    </w:div>
    <w:div w:id="1635333990">
      <w:bodyDiv w:val="1"/>
      <w:marLeft w:val="0"/>
      <w:marRight w:val="0"/>
      <w:marTop w:val="0"/>
      <w:marBottom w:val="0"/>
      <w:divBdr>
        <w:top w:val="none" w:sz="0" w:space="0" w:color="auto"/>
        <w:left w:val="none" w:sz="0" w:space="0" w:color="auto"/>
        <w:bottom w:val="none" w:sz="0" w:space="0" w:color="auto"/>
        <w:right w:val="none" w:sz="0" w:space="0" w:color="auto"/>
      </w:divBdr>
    </w:div>
    <w:div w:id="1649632233">
      <w:bodyDiv w:val="1"/>
      <w:marLeft w:val="0"/>
      <w:marRight w:val="0"/>
      <w:marTop w:val="0"/>
      <w:marBottom w:val="0"/>
      <w:divBdr>
        <w:top w:val="none" w:sz="0" w:space="0" w:color="auto"/>
        <w:left w:val="none" w:sz="0" w:space="0" w:color="auto"/>
        <w:bottom w:val="none" w:sz="0" w:space="0" w:color="auto"/>
        <w:right w:val="none" w:sz="0" w:space="0" w:color="auto"/>
      </w:divBdr>
    </w:div>
    <w:div w:id="1660110431">
      <w:bodyDiv w:val="1"/>
      <w:marLeft w:val="0"/>
      <w:marRight w:val="0"/>
      <w:marTop w:val="0"/>
      <w:marBottom w:val="0"/>
      <w:divBdr>
        <w:top w:val="none" w:sz="0" w:space="0" w:color="auto"/>
        <w:left w:val="none" w:sz="0" w:space="0" w:color="auto"/>
        <w:bottom w:val="none" w:sz="0" w:space="0" w:color="auto"/>
        <w:right w:val="none" w:sz="0" w:space="0" w:color="auto"/>
      </w:divBdr>
    </w:div>
    <w:div w:id="1668898410">
      <w:bodyDiv w:val="1"/>
      <w:marLeft w:val="0"/>
      <w:marRight w:val="0"/>
      <w:marTop w:val="0"/>
      <w:marBottom w:val="0"/>
      <w:divBdr>
        <w:top w:val="none" w:sz="0" w:space="0" w:color="auto"/>
        <w:left w:val="none" w:sz="0" w:space="0" w:color="auto"/>
        <w:bottom w:val="none" w:sz="0" w:space="0" w:color="auto"/>
        <w:right w:val="none" w:sz="0" w:space="0" w:color="auto"/>
      </w:divBdr>
    </w:div>
    <w:div w:id="1669554621">
      <w:bodyDiv w:val="1"/>
      <w:marLeft w:val="0"/>
      <w:marRight w:val="0"/>
      <w:marTop w:val="0"/>
      <w:marBottom w:val="0"/>
      <w:divBdr>
        <w:top w:val="none" w:sz="0" w:space="0" w:color="auto"/>
        <w:left w:val="none" w:sz="0" w:space="0" w:color="auto"/>
        <w:bottom w:val="none" w:sz="0" w:space="0" w:color="auto"/>
        <w:right w:val="none" w:sz="0" w:space="0" w:color="auto"/>
      </w:divBdr>
    </w:div>
    <w:div w:id="1682006766">
      <w:bodyDiv w:val="1"/>
      <w:marLeft w:val="0"/>
      <w:marRight w:val="0"/>
      <w:marTop w:val="0"/>
      <w:marBottom w:val="0"/>
      <w:divBdr>
        <w:top w:val="none" w:sz="0" w:space="0" w:color="auto"/>
        <w:left w:val="none" w:sz="0" w:space="0" w:color="auto"/>
        <w:bottom w:val="none" w:sz="0" w:space="0" w:color="auto"/>
        <w:right w:val="none" w:sz="0" w:space="0" w:color="auto"/>
      </w:divBdr>
    </w:div>
    <w:div w:id="1682975755">
      <w:bodyDiv w:val="1"/>
      <w:marLeft w:val="0"/>
      <w:marRight w:val="0"/>
      <w:marTop w:val="0"/>
      <w:marBottom w:val="0"/>
      <w:divBdr>
        <w:top w:val="none" w:sz="0" w:space="0" w:color="auto"/>
        <w:left w:val="none" w:sz="0" w:space="0" w:color="auto"/>
        <w:bottom w:val="none" w:sz="0" w:space="0" w:color="auto"/>
        <w:right w:val="none" w:sz="0" w:space="0" w:color="auto"/>
      </w:divBdr>
    </w:div>
    <w:div w:id="1685207530">
      <w:bodyDiv w:val="1"/>
      <w:marLeft w:val="0"/>
      <w:marRight w:val="0"/>
      <w:marTop w:val="0"/>
      <w:marBottom w:val="0"/>
      <w:divBdr>
        <w:top w:val="none" w:sz="0" w:space="0" w:color="auto"/>
        <w:left w:val="none" w:sz="0" w:space="0" w:color="auto"/>
        <w:bottom w:val="none" w:sz="0" w:space="0" w:color="auto"/>
        <w:right w:val="none" w:sz="0" w:space="0" w:color="auto"/>
      </w:divBdr>
    </w:div>
    <w:div w:id="1686400844">
      <w:bodyDiv w:val="1"/>
      <w:marLeft w:val="0"/>
      <w:marRight w:val="0"/>
      <w:marTop w:val="0"/>
      <w:marBottom w:val="0"/>
      <w:divBdr>
        <w:top w:val="none" w:sz="0" w:space="0" w:color="auto"/>
        <w:left w:val="none" w:sz="0" w:space="0" w:color="auto"/>
        <w:bottom w:val="none" w:sz="0" w:space="0" w:color="auto"/>
        <w:right w:val="none" w:sz="0" w:space="0" w:color="auto"/>
      </w:divBdr>
    </w:div>
    <w:div w:id="1686520383">
      <w:bodyDiv w:val="1"/>
      <w:marLeft w:val="0"/>
      <w:marRight w:val="0"/>
      <w:marTop w:val="0"/>
      <w:marBottom w:val="0"/>
      <w:divBdr>
        <w:top w:val="none" w:sz="0" w:space="0" w:color="auto"/>
        <w:left w:val="none" w:sz="0" w:space="0" w:color="auto"/>
        <w:bottom w:val="none" w:sz="0" w:space="0" w:color="auto"/>
        <w:right w:val="none" w:sz="0" w:space="0" w:color="auto"/>
      </w:divBdr>
    </w:div>
    <w:div w:id="1687248369">
      <w:bodyDiv w:val="1"/>
      <w:marLeft w:val="0"/>
      <w:marRight w:val="0"/>
      <w:marTop w:val="0"/>
      <w:marBottom w:val="0"/>
      <w:divBdr>
        <w:top w:val="none" w:sz="0" w:space="0" w:color="auto"/>
        <w:left w:val="none" w:sz="0" w:space="0" w:color="auto"/>
        <w:bottom w:val="none" w:sz="0" w:space="0" w:color="auto"/>
        <w:right w:val="none" w:sz="0" w:space="0" w:color="auto"/>
      </w:divBdr>
    </w:div>
    <w:div w:id="1689141569">
      <w:bodyDiv w:val="1"/>
      <w:marLeft w:val="0"/>
      <w:marRight w:val="0"/>
      <w:marTop w:val="0"/>
      <w:marBottom w:val="0"/>
      <w:divBdr>
        <w:top w:val="none" w:sz="0" w:space="0" w:color="auto"/>
        <w:left w:val="none" w:sz="0" w:space="0" w:color="auto"/>
        <w:bottom w:val="none" w:sz="0" w:space="0" w:color="auto"/>
        <w:right w:val="none" w:sz="0" w:space="0" w:color="auto"/>
      </w:divBdr>
    </w:div>
    <w:div w:id="1694378330">
      <w:bodyDiv w:val="1"/>
      <w:marLeft w:val="0"/>
      <w:marRight w:val="0"/>
      <w:marTop w:val="0"/>
      <w:marBottom w:val="0"/>
      <w:divBdr>
        <w:top w:val="none" w:sz="0" w:space="0" w:color="auto"/>
        <w:left w:val="none" w:sz="0" w:space="0" w:color="auto"/>
        <w:bottom w:val="none" w:sz="0" w:space="0" w:color="auto"/>
        <w:right w:val="none" w:sz="0" w:space="0" w:color="auto"/>
      </w:divBdr>
    </w:div>
    <w:div w:id="1702433629">
      <w:bodyDiv w:val="1"/>
      <w:marLeft w:val="0"/>
      <w:marRight w:val="0"/>
      <w:marTop w:val="0"/>
      <w:marBottom w:val="0"/>
      <w:divBdr>
        <w:top w:val="none" w:sz="0" w:space="0" w:color="auto"/>
        <w:left w:val="none" w:sz="0" w:space="0" w:color="auto"/>
        <w:bottom w:val="none" w:sz="0" w:space="0" w:color="auto"/>
        <w:right w:val="none" w:sz="0" w:space="0" w:color="auto"/>
      </w:divBdr>
    </w:div>
    <w:div w:id="1702512337">
      <w:bodyDiv w:val="1"/>
      <w:marLeft w:val="0"/>
      <w:marRight w:val="0"/>
      <w:marTop w:val="0"/>
      <w:marBottom w:val="0"/>
      <w:divBdr>
        <w:top w:val="none" w:sz="0" w:space="0" w:color="auto"/>
        <w:left w:val="none" w:sz="0" w:space="0" w:color="auto"/>
        <w:bottom w:val="none" w:sz="0" w:space="0" w:color="auto"/>
        <w:right w:val="none" w:sz="0" w:space="0" w:color="auto"/>
      </w:divBdr>
    </w:div>
    <w:div w:id="1712916407">
      <w:bodyDiv w:val="1"/>
      <w:marLeft w:val="0"/>
      <w:marRight w:val="0"/>
      <w:marTop w:val="0"/>
      <w:marBottom w:val="0"/>
      <w:divBdr>
        <w:top w:val="none" w:sz="0" w:space="0" w:color="auto"/>
        <w:left w:val="none" w:sz="0" w:space="0" w:color="auto"/>
        <w:bottom w:val="none" w:sz="0" w:space="0" w:color="auto"/>
        <w:right w:val="none" w:sz="0" w:space="0" w:color="auto"/>
      </w:divBdr>
    </w:div>
    <w:div w:id="1716661697">
      <w:bodyDiv w:val="1"/>
      <w:marLeft w:val="0"/>
      <w:marRight w:val="0"/>
      <w:marTop w:val="0"/>
      <w:marBottom w:val="0"/>
      <w:divBdr>
        <w:top w:val="none" w:sz="0" w:space="0" w:color="auto"/>
        <w:left w:val="none" w:sz="0" w:space="0" w:color="auto"/>
        <w:bottom w:val="none" w:sz="0" w:space="0" w:color="auto"/>
        <w:right w:val="none" w:sz="0" w:space="0" w:color="auto"/>
      </w:divBdr>
    </w:div>
    <w:div w:id="1718119237">
      <w:bodyDiv w:val="1"/>
      <w:marLeft w:val="0"/>
      <w:marRight w:val="0"/>
      <w:marTop w:val="0"/>
      <w:marBottom w:val="0"/>
      <w:divBdr>
        <w:top w:val="none" w:sz="0" w:space="0" w:color="auto"/>
        <w:left w:val="none" w:sz="0" w:space="0" w:color="auto"/>
        <w:bottom w:val="none" w:sz="0" w:space="0" w:color="auto"/>
        <w:right w:val="none" w:sz="0" w:space="0" w:color="auto"/>
      </w:divBdr>
    </w:div>
    <w:div w:id="1724796166">
      <w:bodyDiv w:val="1"/>
      <w:marLeft w:val="0"/>
      <w:marRight w:val="0"/>
      <w:marTop w:val="0"/>
      <w:marBottom w:val="0"/>
      <w:divBdr>
        <w:top w:val="none" w:sz="0" w:space="0" w:color="auto"/>
        <w:left w:val="none" w:sz="0" w:space="0" w:color="auto"/>
        <w:bottom w:val="none" w:sz="0" w:space="0" w:color="auto"/>
        <w:right w:val="none" w:sz="0" w:space="0" w:color="auto"/>
      </w:divBdr>
    </w:div>
    <w:div w:id="1725905456">
      <w:bodyDiv w:val="1"/>
      <w:marLeft w:val="0"/>
      <w:marRight w:val="0"/>
      <w:marTop w:val="0"/>
      <w:marBottom w:val="0"/>
      <w:divBdr>
        <w:top w:val="none" w:sz="0" w:space="0" w:color="auto"/>
        <w:left w:val="none" w:sz="0" w:space="0" w:color="auto"/>
        <w:bottom w:val="none" w:sz="0" w:space="0" w:color="auto"/>
        <w:right w:val="none" w:sz="0" w:space="0" w:color="auto"/>
      </w:divBdr>
    </w:div>
    <w:div w:id="1732579613">
      <w:bodyDiv w:val="1"/>
      <w:marLeft w:val="0"/>
      <w:marRight w:val="0"/>
      <w:marTop w:val="0"/>
      <w:marBottom w:val="0"/>
      <w:divBdr>
        <w:top w:val="none" w:sz="0" w:space="0" w:color="auto"/>
        <w:left w:val="none" w:sz="0" w:space="0" w:color="auto"/>
        <w:bottom w:val="none" w:sz="0" w:space="0" w:color="auto"/>
        <w:right w:val="none" w:sz="0" w:space="0" w:color="auto"/>
      </w:divBdr>
    </w:div>
    <w:div w:id="1738941859">
      <w:bodyDiv w:val="1"/>
      <w:marLeft w:val="0"/>
      <w:marRight w:val="0"/>
      <w:marTop w:val="0"/>
      <w:marBottom w:val="0"/>
      <w:divBdr>
        <w:top w:val="none" w:sz="0" w:space="0" w:color="auto"/>
        <w:left w:val="none" w:sz="0" w:space="0" w:color="auto"/>
        <w:bottom w:val="none" w:sz="0" w:space="0" w:color="auto"/>
        <w:right w:val="none" w:sz="0" w:space="0" w:color="auto"/>
      </w:divBdr>
    </w:div>
    <w:div w:id="1747650317">
      <w:bodyDiv w:val="1"/>
      <w:marLeft w:val="0"/>
      <w:marRight w:val="0"/>
      <w:marTop w:val="0"/>
      <w:marBottom w:val="0"/>
      <w:divBdr>
        <w:top w:val="none" w:sz="0" w:space="0" w:color="auto"/>
        <w:left w:val="none" w:sz="0" w:space="0" w:color="auto"/>
        <w:bottom w:val="none" w:sz="0" w:space="0" w:color="auto"/>
        <w:right w:val="none" w:sz="0" w:space="0" w:color="auto"/>
      </w:divBdr>
    </w:div>
    <w:div w:id="1754933354">
      <w:bodyDiv w:val="1"/>
      <w:marLeft w:val="0"/>
      <w:marRight w:val="0"/>
      <w:marTop w:val="0"/>
      <w:marBottom w:val="0"/>
      <w:divBdr>
        <w:top w:val="none" w:sz="0" w:space="0" w:color="auto"/>
        <w:left w:val="none" w:sz="0" w:space="0" w:color="auto"/>
        <w:bottom w:val="none" w:sz="0" w:space="0" w:color="auto"/>
        <w:right w:val="none" w:sz="0" w:space="0" w:color="auto"/>
      </w:divBdr>
    </w:div>
    <w:div w:id="1755784597">
      <w:bodyDiv w:val="1"/>
      <w:marLeft w:val="0"/>
      <w:marRight w:val="0"/>
      <w:marTop w:val="0"/>
      <w:marBottom w:val="0"/>
      <w:divBdr>
        <w:top w:val="none" w:sz="0" w:space="0" w:color="auto"/>
        <w:left w:val="none" w:sz="0" w:space="0" w:color="auto"/>
        <w:bottom w:val="none" w:sz="0" w:space="0" w:color="auto"/>
        <w:right w:val="none" w:sz="0" w:space="0" w:color="auto"/>
      </w:divBdr>
    </w:div>
    <w:div w:id="1759399441">
      <w:bodyDiv w:val="1"/>
      <w:marLeft w:val="0"/>
      <w:marRight w:val="0"/>
      <w:marTop w:val="0"/>
      <w:marBottom w:val="0"/>
      <w:divBdr>
        <w:top w:val="none" w:sz="0" w:space="0" w:color="auto"/>
        <w:left w:val="none" w:sz="0" w:space="0" w:color="auto"/>
        <w:bottom w:val="none" w:sz="0" w:space="0" w:color="auto"/>
        <w:right w:val="none" w:sz="0" w:space="0" w:color="auto"/>
      </w:divBdr>
    </w:div>
    <w:div w:id="1763604882">
      <w:bodyDiv w:val="1"/>
      <w:marLeft w:val="0"/>
      <w:marRight w:val="0"/>
      <w:marTop w:val="0"/>
      <w:marBottom w:val="0"/>
      <w:divBdr>
        <w:top w:val="none" w:sz="0" w:space="0" w:color="auto"/>
        <w:left w:val="none" w:sz="0" w:space="0" w:color="auto"/>
        <w:bottom w:val="none" w:sz="0" w:space="0" w:color="auto"/>
        <w:right w:val="none" w:sz="0" w:space="0" w:color="auto"/>
      </w:divBdr>
    </w:div>
    <w:div w:id="1773626104">
      <w:bodyDiv w:val="1"/>
      <w:marLeft w:val="0"/>
      <w:marRight w:val="0"/>
      <w:marTop w:val="0"/>
      <w:marBottom w:val="0"/>
      <w:divBdr>
        <w:top w:val="none" w:sz="0" w:space="0" w:color="auto"/>
        <w:left w:val="none" w:sz="0" w:space="0" w:color="auto"/>
        <w:bottom w:val="none" w:sz="0" w:space="0" w:color="auto"/>
        <w:right w:val="none" w:sz="0" w:space="0" w:color="auto"/>
      </w:divBdr>
    </w:div>
    <w:div w:id="1778018637">
      <w:bodyDiv w:val="1"/>
      <w:marLeft w:val="0"/>
      <w:marRight w:val="0"/>
      <w:marTop w:val="0"/>
      <w:marBottom w:val="0"/>
      <w:divBdr>
        <w:top w:val="none" w:sz="0" w:space="0" w:color="auto"/>
        <w:left w:val="none" w:sz="0" w:space="0" w:color="auto"/>
        <w:bottom w:val="none" w:sz="0" w:space="0" w:color="auto"/>
        <w:right w:val="none" w:sz="0" w:space="0" w:color="auto"/>
      </w:divBdr>
    </w:div>
    <w:div w:id="1778332629">
      <w:bodyDiv w:val="1"/>
      <w:marLeft w:val="0"/>
      <w:marRight w:val="0"/>
      <w:marTop w:val="0"/>
      <w:marBottom w:val="0"/>
      <w:divBdr>
        <w:top w:val="none" w:sz="0" w:space="0" w:color="auto"/>
        <w:left w:val="none" w:sz="0" w:space="0" w:color="auto"/>
        <w:bottom w:val="none" w:sz="0" w:space="0" w:color="auto"/>
        <w:right w:val="none" w:sz="0" w:space="0" w:color="auto"/>
      </w:divBdr>
    </w:div>
    <w:div w:id="1784375335">
      <w:bodyDiv w:val="1"/>
      <w:marLeft w:val="0"/>
      <w:marRight w:val="0"/>
      <w:marTop w:val="0"/>
      <w:marBottom w:val="0"/>
      <w:divBdr>
        <w:top w:val="none" w:sz="0" w:space="0" w:color="auto"/>
        <w:left w:val="none" w:sz="0" w:space="0" w:color="auto"/>
        <w:bottom w:val="none" w:sz="0" w:space="0" w:color="auto"/>
        <w:right w:val="none" w:sz="0" w:space="0" w:color="auto"/>
      </w:divBdr>
    </w:div>
    <w:div w:id="1789936063">
      <w:bodyDiv w:val="1"/>
      <w:marLeft w:val="0"/>
      <w:marRight w:val="0"/>
      <w:marTop w:val="0"/>
      <w:marBottom w:val="0"/>
      <w:divBdr>
        <w:top w:val="none" w:sz="0" w:space="0" w:color="auto"/>
        <w:left w:val="none" w:sz="0" w:space="0" w:color="auto"/>
        <w:bottom w:val="none" w:sz="0" w:space="0" w:color="auto"/>
        <w:right w:val="none" w:sz="0" w:space="0" w:color="auto"/>
      </w:divBdr>
    </w:div>
    <w:div w:id="1798986180">
      <w:bodyDiv w:val="1"/>
      <w:marLeft w:val="0"/>
      <w:marRight w:val="0"/>
      <w:marTop w:val="0"/>
      <w:marBottom w:val="0"/>
      <w:divBdr>
        <w:top w:val="none" w:sz="0" w:space="0" w:color="auto"/>
        <w:left w:val="none" w:sz="0" w:space="0" w:color="auto"/>
        <w:bottom w:val="none" w:sz="0" w:space="0" w:color="auto"/>
        <w:right w:val="none" w:sz="0" w:space="0" w:color="auto"/>
      </w:divBdr>
    </w:div>
    <w:div w:id="1804957787">
      <w:bodyDiv w:val="1"/>
      <w:marLeft w:val="0"/>
      <w:marRight w:val="0"/>
      <w:marTop w:val="0"/>
      <w:marBottom w:val="0"/>
      <w:divBdr>
        <w:top w:val="none" w:sz="0" w:space="0" w:color="auto"/>
        <w:left w:val="none" w:sz="0" w:space="0" w:color="auto"/>
        <w:bottom w:val="none" w:sz="0" w:space="0" w:color="auto"/>
        <w:right w:val="none" w:sz="0" w:space="0" w:color="auto"/>
      </w:divBdr>
    </w:div>
    <w:div w:id="1808351498">
      <w:bodyDiv w:val="1"/>
      <w:marLeft w:val="0"/>
      <w:marRight w:val="0"/>
      <w:marTop w:val="0"/>
      <w:marBottom w:val="0"/>
      <w:divBdr>
        <w:top w:val="none" w:sz="0" w:space="0" w:color="auto"/>
        <w:left w:val="none" w:sz="0" w:space="0" w:color="auto"/>
        <w:bottom w:val="none" w:sz="0" w:space="0" w:color="auto"/>
        <w:right w:val="none" w:sz="0" w:space="0" w:color="auto"/>
      </w:divBdr>
    </w:div>
    <w:div w:id="1811945895">
      <w:bodyDiv w:val="1"/>
      <w:marLeft w:val="0"/>
      <w:marRight w:val="0"/>
      <w:marTop w:val="0"/>
      <w:marBottom w:val="0"/>
      <w:divBdr>
        <w:top w:val="none" w:sz="0" w:space="0" w:color="auto"/>
        <w:left w:val="none" w:sz="0" w:space="0" w:color="auto"/>
        <w:bottom w:val="none" w:sz="0" w:space="0" w:color="auto"/>
        <w:right w:val="none" w:sz="0" w:space="0" w:color="auto"/>
      </w:divBdr>
    </w:div>
    <w:div w:id="1816216638">
      <w:bodyDiv w:val="1"/>
      <w:marLeft w:val="0"/>
      <w:marRight w:val="0"/>
      <w:marTop w:val="0"/>
      <w:marBottom w:val="0"/>
      <w:divBdr>
        <w:top w:val="none" w:sz="0" w:space="0" w:color="auto"/>
        <w:left w:val="none" w:sz="0" w:space="0" w:color="auto"/>
        <w:bottom w:val="none" w:sz="0" w:space="0" w:color="auto"/>
        <w:right w:val="none" w:sz="0" w:space="0" w:color="auto"/>
      </w:divBdr>
    </w:div>
    <w:div w:id="1816794508">
      <w:bodyDiv w:val="1"/>
      <w:marLeft w:val="0"/>
      <w:marRight w:val="0"/>
      <w:marTop w:val="0"/>
      <w:marBottom w:val="0"/>
      <w:divBdr>
        <w:top w:val="none" w:sz="0" w:space="0" w:color="auto"/>
        <w:left w:val="none" w:sz="0" w:space="0" w:color="auto"/>
        <w:bottom w:val="none" w:sz="0" w:space="0" w:color="auto"/>
        <w:right w:val="none" w:sz="0" w:space="0" w:color="auto"/>
      </w:divBdr>
    </w:div>
    <w:div w:id="1832059176">
      <w:bodyDiv w:val="1"/>
      <w:marLeft w:val="0"/>
      <w:marRight w:val="0"/>
      <w:marTop w:val="0"/>
      <w:marBottom w:val="0"/>
      <w:divBdr>
        <w:top w:val="none" w:sz="0" w:space="0" w:color="auto"/>
        <w:left w:val="none" w:sz="0" w:space="0" w:color="auto"/>
        <w:bottom w:val="none" w:sz="0" w:space="0" w:color="auto"/>
        <w:right w:val="none" w:sz="0" w:space="0" w:color="auto"/>
      </w:divBdr>
    </w:div>
    <w:div w:id="1838225303">
      <w:bodyDiv w:val="1"/>
      <w:marLeft w:val="0"/>
      <w:marRight w:val="0"/>
      <w:marTop w:val="0"/>
      <w:marBottom w:val="0"/>
      <w:divBdr>
        <w:top w:val="none" w:sz="0" w:space="0" w:color="auto"/>
        <w:left w:val="none" w:sz="0" w:space="0" w:color="auto"/>
        <w:bottom w:val="none" w:sz="0" w:space="0" w:color="auto"/>
        <w:right w:val="none" w:sz="0" w:space="0" w:color="auto"/>
      </w:divBdr>
    </w:div>
    <w:div w:id="1842424532">
      <w:bodyDiv w:val="1"/>
      <w:marLeft w:val="0"/>
      <w:marRight w:val="0"/>
      <w:marTop w:val="0"/>
      <w:marBottom w:val="0"/>
      <w:divBdr>
        <w:top w:val="none" w:sz="0" w:space="0" w:color="auto"/>
        <w:left w:val="none" w:sz="0" w:space="0" w:color="auto"/>
        <w:bottom w:val="none" w:sz="0" w:space="0" w:color="auto"/>
        <w:right w:val="none" w:sz="0" w:space="0" w:color="auto"/>
      </w:divBdr>
    </w:div>
    <w:div w:id="1842893786">
      <w:bodyDiv w:val="1"/>
      <w:marLeft w:val="0"/>
      <w:marRight w:val="0"/>
      <w:marTop w:val="0"/>
      <w:marBottom w:val="0"/>
      <w:divBdr>
        <w:top w:val="none" w:sz="0" w:space="0" w:color="auto"/>
        <w:left w:val="none" w:sz="0" w:space="0" w:color="auto"/>
        <w:bottom w:val="none" w:sz="0" w:space="0" w:color="auto"/>
        <w:right w:val="none" w:sz="0" w:space="0" w:color="auto"/>
      </w:divBdr>
    </w:div>
    <w:div w:id="1859731257">
      <w:bodyDiv w:val="1"/>
      <w:marLeft w:val="0"/>
      <w:marRight w:val="0"/>
      <w:marTop w:val="0"/>
      <w:marBottom w:val="0"/>
      <w:divBdr>
        <w:top w:val="none" w:sz="0" w:space="0" w:color="auto"/>
        <w:left w:val="none" w:sz="0" w:space="0" w:color="auto"/>
        <w:bottom w:val="none" w:sz="0" w:space="0" w:color="auto"/>
        <w:right w:val="none" w:sz="0" w:space="0" w:color="auto"/>
      </w:divBdr>
    </w:div>
    <w:div w:id="1861241042">
      <w:bodyDiv w:val="1"/>
      <w:marLeft w:val="0"/>
      <w:marRight w:val="0"/>
      <w:marTop w:val="0"/>
      <w:marBottom w:val="0"/>
      <w:divBdr>
        <w:top w:val="none" w:sz="0" w:space="0" w:color="auto"/>
        <w:left w:val="none" w:sz="0" w:space="0" w:color="auto"/>
        <w:bottom w:val="none" w:sz="0" w:space="0" w:color="auto"/>
        <w:right w:val="none" w:sz="0" w:space="0" w:color="auto"/>
      </w:divBdr>
    </w:div>
    <w:div w:id="1865751792">
      <w:bodyDiv w:val="1"/>
      <w:marLeft w:val="0"/>
      <w:marRight w:val="0"/>
      <w:marTop w:val="0"/>
      <w:marBottom w:val="0"/>
      <w:divBdr>
        <w:top w:val="none" w:sz="0" w:space="0" w:color="auto"/>
        <w:left w:val="none" w:sz="0" w:space="0" w:color="auto"/>
        <w:bottom w:val="none" w:sz="0" w:space="0" w:color="auto"/>
        <w:right w:val="none" w:sz="0" w:space="0" w:color="auto"/>
      </w:divBdr>
    </w:div>
    <w:div w:id="1866285378">
      <w:bodyDiv w:val="1"/>
      <w:marLeft w:val="0"/>
      <w:marRight w:val="0"/>
      <w:marTop w:val="0"/>
      <w:marBottom w:val="0"/>
      <w:divBdr>
        <w:top w:val="none" w:sz="0" w:space="0" w:color="auto"/>
        <w:left w:val="none" w:sz="0" w:space="0" w:color="auto"/>
        <w:bottom w:val="none" w:sz="0" w:space="0" w:color="auto"/>
        <w:right w:val="none" w:sz="0" w:space="0" w:color="auto"/>
      </w:divBdr>
    </w:div>
    <w:div w:id="1869222293">
      <w:bodyDiv w:val="1"/>
      <w:marLeft w:val="0"/>
      <w:marRight w:val="0"/>
      <w:marTop w:val="0"/>
      <w:marBottom w:val="0"/>
      <w:divBdr>
        <w:top w:val="none" w:sz="0" w:space="0" w:color="auto"/>
        <w:left w:val="none" w:sz="0" w:space="0" w:color="auto"/>
        <w:bottom w:val="none" w:sz="0" w:space="0" w:color="auto"/>
        <w:right w:val="none" w:sz="0" w:space="0" w:color="auto"/>
      </w:divBdr>
    </w:div>
    <w:div w:id="1876192908">
      <w:bodyDiv w:val="1"/>
      <w:marLeft w:val="0"/>
      <w:marRight w:val="0"/>
      <w:marTop w:val="0"/>
      <w:marBottom w:val="0"/>
      <w:divBdr>
        <w:top w:val="none" w:sz="0" w:space="0" w:color="auto"/>
        <w:left w:val="none" w:sz="0" w:space="0" w:color="auto"/>
        <w:bottom w:val="none" w:sz="0" w:space="0" w:color="auto"/>
        <w:right w:val="none" w:sz="0" w:space="0" w:color="auto"/>
      </w:divBdr>
    </w:div>
    <w:div w:id="1879779711">
      <w:bodyDiv w:val="1"/>
      <w:marLeft w:val="0"/>
      <w:marRight w:val="0"/>
      <w:marTop w:val="0"/>
      <w:marBottom w:val="0"/>
      <w:divBdr>
        <w:top w:val="none" w:sz="0" w:space="0" w:color="auto"/>
        <w:left w:val="none" w:sz="0" w:space="0" w:color="auto"/>
        <w:bottom w:val="none" w:sz="0" w:space="0" w:color="auto"/>
        <w:right w:val="none" w:sz="0" w:space="0" w:color="auto"/>
      </w:divBdr>
    </w:div>
    <w:div w:id="1880362445">
      <w:bodyDiv w:val="1"/>
      <w:marLeft w:val="0"/>
      <w:marRight w:val="0"/>
      <w:marTop w:val="0"/>
      <w:marBottom w:val="0"/>
      <w:divBdr>
        <w:top w:val="none" w:sz="0" w:space="0" w:color="auto"/>
        <w:left w:val="none" w:sz="0" w:space="0" w:color="auto"/>
        <w:bottom w:val="none" w:sz="0" w:space="0" w:color="auto"/>
        <w:right w:val="none" w:sz="0" w:space="0" w:color="auto"/>
      </w:divBdr>
    </w:div>
    <w:div w:id="1882400771">
      <w:bodyDiv w:val="1"/>
      <w:marLeft w:val="0"/>
      <w:marRight w:val="0"/>
      <w:marTop w:val="0"/>
      <w:marBottom w:val="0"/>
      <w:divBdr>
        <w:top w:val="none" w:sz="0" w:space="0" w:color="auto"/>
        <w:left w:val="none" w:sz="0" w:space="0" w:color="auto"/>
        <w:bottom w:val="none" w:sz="0" w:space="0" w:color="auto"/>
        <w:right w:val="none" w:sz="0" w:space="0" w:color="auto"/>
      </w:divBdr>
    </w:div>
    <w:div w:id="1887183109">
      <w:bodyDiv w:val="1"/>
      <w:marLeft w:val="0"/>
      <w:marRight w:val="0"/>
      <w:marTop w:val="0"/>
      <w:marBottom w:val="0"/>
      <w:divBdr>
        <w:top w:val="none" w:sz="0" w:space="0" w:color="auto"/>
        <w:left w:val="none" w:sz="0" w:space="0" w:color="auto"/>
        <w:bottom w:val="none" w:sz="0" w:space="0" w:color="auto"/>
        <w:right w:val="none" w:sz="0" w:space="0" w:color="auto"/>
      </w:divBdr>
    </w:div>
    <w:div w:id="1890264324">
      <w:bodyDiv w:val="1"/>
      <w:marLeft w:val="0"/>
      <w:marRight w:val="0"/>
      <w:marTop w:val="0"/>
      <w:marBottom w:val="0"/>
      <w:divBdr>
        <w:top w:val="none" w:sz="0" w:space="0" w:color="auto"/>
        <w:left w:val="none" w:sz="0" w:space="0" w:color="auto"/>
        <w:bottom w:val="none" w:sz="0" w:space="0" w:color="auto"/>
        <w:right w:val="none" w:sz="0" w:space="0" w:color="auto"/>
      </w:divBdr>
    </w:div>
    <w:div w:id="1896818763">
      <w:bodyDiv w:val="1"/>
      <w:marLeft w:val="0"/>
      <w:marRight w:val="0"/>
      <w:marTop w:val="0"/>
      <w:marBottom w:val="0"/>
      <w:divBdr>
        <w:top w:val="none" w:sz="0" w:space="0" w:color="auto"/>
        <w:left w:val="none" w:sz="0" w:space="0" w:color="auto"/>
        <w:bottom w:val="none" w:sz="0" w:space="0" w:color="auto"/>
        <w:right w:val="none" w:sz="0" w:space="0" w:color="auto"/>
      </w:divBdr>
    </w:div>
    <w:div w:id="1897160520">
      <w:bodyDiv w:val="1"/>
      <w:marLeft w:val="0"/>
      <w:marRight w:val="0"/>
      <w:marTop w:val="0"/>
      <w:marBottom w:val="0"/>
      <w:divBdr>
        <w:top w:val="none" w:sz="0" w:space="0" w:color="auto"/>
        <w:left w:val="none" w:sz="0" w:space="0" w:color="auto"/>
        <w:bottom w:val="none" w:sz="0" w:space="0" w:color="auto"/>
        <w:right w:val="none" w:sz="0" w:space="0" w:color="auto"/>
      </w:divBdr>
    </w:div>
    <w:div w:id="1902132363">
      <w:bodyDiv w:val="1"/>
      <w:marLeft w:val="0"/>
      <w:marRight w:val="0"/>
      <w:marTop w:val="0"/>
      <w:marBottom w:val="0"/>
      <w:divBdr>
        <w:top w:val="none" w:sz="0" w:space="0" w:color="auto"/>
        <w:left w:val="none" w:sz="0" w:space="0" w:color="auto"/>
        <w:bottom w:val="none" w:sz="0" w:space="0" w:color="auto"/>
        <w:right w:val="none" w:sz="0" w:space="0" w:color="auto"/>
      </w:divBdr>
    </w:div>
    <w:div w:id="1912419986">
      <w:bodyDiv w:val="1"/>
      <w:marLeft w:val="0"/>
      <w:marRight w:val="0"/>
      <w:marTop w:val="0"/>
      <w:marBottom w:val="0"/>
      <w:divBdr>
        <w:top w:val="none" w:sz="0" w:space="0" w:color="auto"/>
        <w:left w:val="none" w:sz="0" w:space="0" w:color="auto"/>
        <w:bottom w:val="none" w:sz="0" w:space="0" w:color="auto"/>
        <w:right w:val="none" w:sz="0" w:space="0" w:color="auto"/>
      </w:divBdr>
    </w:div>
    <w:div w:id="1917282597">
      <w:bodyDiv w:val="1"/>
      <w:marLeft w:val="0"/>
      <w:marRight w:val="0"/>
      <w:marTop w:val="0"/>
      <w:marBottom w:val="0"/>
      <w:divBdr>
        <w:top w:val="none" w:sz="0" w:space="0" w:color="auto"/>
        <w:left w:val="none" w:sz="0" w:space="0" w:color="auto"/>
        <w:bottom w:val="none" w:sz="0" w:space="0" w:color="auto"/>
        <w:right w:val="none" w:sz="0" w:space="0" w:color="auto"/>
      </w:divBdr>
    </w:div>
    <w:div w:id="1919365168">
      <w:bodyDiv w:val="1"/>
      <w:marLeft w:val="0"/>
      <w:marRight w:val="0"/>
      <w:marTop w:val="0"/>
      <w:marBottom w:val="0"/>
      <w:divBdr>
        <w:top w:val="none" w:sz="0" w:space="0" w:color="auto"/>
        <w:left w:val="none" w:sz="0" w:space="0" w:color="auto"/>
        <w:bottom w:val="none" w:sz="0" w:space="0" w:color="auto"/>
        <w:right w:val="none" w:sz="0" w:space="0" w:color="auto"/>
      </w:divBdr>
    </w:div>
    <w:div w:id="1926766958">
      <w:bodyDiv w:val="1"/>
      <w:marLeft w:val="0"/>
      <w:marRight w:val="0"/>
      <w:marTop w:val="0"/>
      <w:marBottom w:val="0"/>
      <w:divBdr>
        <w:top w:val="none" w:sz="0" w:space="0" w:color="auto"/>
        <w:left w:val="none" w:sz="0" w:space="0" w:color="auto"/>
        <w:bottom w:val="none" w:sz="0" w:space="0" w:color="auto"/>
        <w:right w:val="none" w:sz="0" w:space="0" w:color="auto"/>
      </w:divBdr>
    </w:div>
    <w:div w:id="1943875121">
      <w:bodyDiv w:val="1"/>
      <w:marLeft w:val="0"/>
      <w:marRight w:val="0"/>
      <w:marTop w:val="0"/>
      <w:marBottom w:val="0"/>
      <w:divBdr>
        <w:top w:val="none" w:sz="0" w:space="0" w:color="auto"/>
        <w:left w:val="none" w:sz="0" w:space="0" w:color="auto"/>
        <w:bottom w:val="none" w:sz="0" w:space="0" w:color="auto"/>
        <w:right w:val="none" w:sz="0" w:space="0" w:color="auto"/>
      </w:divBdr>
    </w:div>
    <w:div w:id="1943997987">
      <w:bodyDiv w:val="1"/>
      <w:marLeft w:val="0"/>
      <w:marRight w:val="0"/>
      <w:marTop w:val="0"/>
      <w:marBottom w:val="0"/>
      <w:divBdr>
        <w:top w:val="none" w:sz="0" w:space="0" w:color="auto"/>
        <w:left w:val="none" w:sz="0" w:space="0" w:color="auto"/>
        <w:bottom w:val="none" w:sz="0" w:space="0" w:color="auto"/>
        <w:right w:val="none" w:sz="0" w:space="0" w:color="auto"/>
      </w:divBdr>
    </w:div>
    <w:div w:id="1949115761">
      <w:bodyDiv w:val="1"/>
      <w:marLeft w:val="0"/>
      <w:marRight w:val="0"/>
      <w:marTop w:val="0"/>
      <w:marBottom w:val="0"/>
      <w:divBdr>
        <w:top w:val="none" w:sz="0" w:space="0" w:color="auto"/>
        <w:left w:val="none" w:sz="0" w:space="0" w:color="auto"/>
        <w:bottom w:val="none" w:sz="0" w:space="0" w:color="auto"/>
        <w:right w:val="none" w:sz="0" w:space="0" w:color="auto"/>
      </w:divBdr>
    </w:div>
    <w:div w:id="1952349334">
      <w:bodyDiv w:val="1"/>
      <w:marLeft w:val="0"/>
      <w:marRight w:val="0"/>
      <w:marTop w:val="0"/>
      <w:marBottom w:val="0"/>
      <w:divBdr>
        <w:top w:val="none" w:sz="0" w:space="0" w:color="auto"/>
        <w:left w:val="none" w:sz="0" w:space="0" w:color="auto"/>
        <w:bottom w:val="none" w:sz="0" w:space="0" w:color="auto"/>
        <w:right w:val="none" w:sz="0" w:space="0" w:color="auto"/>
      </w:divBdr>
    </w:div>
    <w:div w:id="1969895940">
      <w:bodyDiv w:val="1"/>
      <w:marLeft w:val="0"/>
      <w:marRight w:val="0"/>
      <w:marTop w:val="0"/>
      <w:marBottom w:val="0"/>
      <w:divBdr>
        <w:top w:val="none" w:sz="0" w:space="0" w:color="auto"/>
        <w:left w:val="none" w:sz="0" w:space="0" w:color="auto"/>
        <w:bottom w:val="none" w:sz="0" w:space="0" w:color="auto"/>
        <w:right w:val="none" w:sz="0" w:space="0" w:color="auto"/>
      </w:divBdr>
    </w:div>
    <w:div w:id="1970553383">
      <w:bodyDiv w:val="1"/>
      <w:marLeft w:val="0"/>
      <w:marRight w:val="0"/>
      <w:marTop w:val="0"/>
      <w:marBottom w:val="0"/>
      <w:divBdr>
        <w:top w:val="none" w:sz="0" w:space="0" w:color="auto"/>
        <w:left w:val="none" w:sz="0" w:space="0" w:color="auto"/>
        <w:bottom w:val="none" w:sz="0" w:space="0" w:color="auto"/>
        <w:right w:val="none" w:sz="0" w:space="0" w:color="auto"/>
      </w:divBdr>
    </w:div>
    <w:div w:id="1991209557">
      <w:bodyDiv w:val="1"/>
      <w:marLeft w:val="0"/>
      <w:marRight w:val="0"/>
      <w:marTop w:val="0"/>
      <w:marBottom w:val="0"/>
      <w:divBdr>
        <w:top w:val="none" w:sz="0" w:space="0" w:color="auto"/>
        <w:left w:val="none" w:sz="0" w:space="0" w:color="auto"/>
        <w:bottom w:val="none" w:sz="0" w:space="0" w:color="auto"/>
        <w:right w:val="none" w:sz="0" w:space="0" w:color="auto"/>
      </w:divBdr>
    </w:div>
    <w:div w:id="1997830556">
      <w:bodyDiv w:val="1"/>
      <w:marLeft w:val="0"/>
      <w:marRight w:val="0"/>
      <w:marTop w:val="0"/>
      <w:marBottom w:val="0"/>
      <w:divBdr>
        <w:top w:val="none" w:sz="0" w:space="0" w:color="auto"/>
        <w:left w:val="none" w:sz="0" w:space="0" w:color="auto"/>
        <w:bottom w:val="none" w:sz="0" w:space="0" w:color="auto"/>
        <w:right w:val="none" w:sz="0" w:space="0" w:color="auto"/>
      </w:divBdr>
    </w:div>
    <w:div w:id="2014990756">
      <w:bodyDiv w:val="1"/>
      <w:marLeft w:val="0"/>
      <w:marRight w:val="0"/>
      <w:marTop w:val="0"/>
      <w:marBottom w:val="0"/>
      <w:divBdr>
        <w:top w:val="none" w:sz="0" w:space="0" w:color="auto"/>
        <w:left w:val="none" w:sz="0" w:space="0" w:color="auto"/>
        <w:bottom w:val="none" w:sz="0" w:space="0" w:color="auto"/>
        <w:right w:val="none" w:sz="0" w:space="0" w:color="auto"/>
      </w:divBdr>
    </w:div>
    <w:div w:id="2017803905">
      <w:bodyDiv w:val="1"/>
      <w:marLeft w:val="0"/>
      <w:marRight w:val="0"/>
      <w:marTop w:val="0"/>
      <w:marBottom w:val="0"/>
      <w:divBdr>
        <w:top w:val="none" w:sz="0" w:space="0" w:color="auto"/>
        <w:left w:val="none" w:sz="0" w:space="0" w:color="auto"/>
        <w:bottom w:val="none" w:sz="0" w:space="0" w:color="auto"/>
        <w:right w:val="none" w:sz="0" w:space="0" w:color="auto"/>
      </w:divBdr>
    </w:div>
    <w:div w:id="2023120175">
      <w:bodyDiv w:val="1"/>
      <w:marLeft w:val="0"/>
      <w:marRight w:val="0"/>
      <w:marTop w:val="0"/>
      <w:marBottom w:val="0"/>
      <w:divBdr>
        <w:top w:val="none" w:sz="0" w:space="0" w:color="auto"/>
        <w:left w:val="none" w:sz="0" w:space="0" w:color="auto"/>
        <w:bottom w:val="none" w:sz="0" w:space="0" w:color="auto"/>
        <w:right w:val="none" w:sz="0" w:space="0" w:color="auto"/>
      </w:divBdr>
    </w:div>
    <w:div w:id="2023775338">
      <w:bodyDiv w:val="1"/>
      <w:marLeft w:val="0"/>
      <w:marRight w:val="0"/>
      <w:marTop w:val="0"/>
      <w:marBottom w:val="0"/>
      <w:divBdr>
        <w:top w:val="none" w:sz="0" w:space="0" w:color="auto"/>
        <w:left w:val="none" w:sz="0" w:space="0" w:color="auto"/>
        <w:bottom w:val="none" w:sz="0" w:space="0" w:color="auto"/>
        <w:right w:val="none" w:sz="0" w:space="0" w:color="auto"/>
      </w:divBdr>
    </w:div>
    <w:div w:id="2027319266">
      <w:bodyDiv w:val="1"/>
      <w:marLeft w:val="0"/>
      <w:marRight w:val="0"/>
      <w:marTop w:val="0"/>
      <w:marBottom w:val="0"/>
      <w:divBdr>
        <w:top w:val="none" w:sz="0" w:space="0" w:color="auto"/>
        <w:left w:val="none" w:sz="0" w:space="0" w:color="auto"/>
        <w:bottom w:val="none" w:sz="0" w:space="0" w:color="auto"/>
        <w:right w:val="none" w:sz="0" w:space="0" w:color="auto"/>
      </w:divBdr>
    </w:div>
    <w:div w:id="2042586939">
      <w:bodyDiv w:val="1"/>
      <w:marLeft w:val="0"/>
      <w:marRight w:val="0"/>
      <w:marTop w:val="0"/>
      <w:marBottom w:val="0"/>
      <w:divBdr>
        <w:top w:val="none" w:sz="0" w:space="0" w:color="auto"/>
        <w:left w:val="none" w:sz="0" w:space="0" w:color="auto"/>
        <w:bottom w:val="none" w:sz="0" w:space="0" w:color="auto"/>
        <w:right w:val="none" w:sz="0" w:space="0" w:color="auto"/>
      </w:divBdr>
    </w:div>
    <w:div w:id="2048603991">
      <w:bodyDiv w:val="1"/>
      <w:marLeft w:val="0"/>
      <w:marRight w:val="0"/>
      <w:marTop w:val="0"/>
      <w:marBottom w:val="0"/>
      <w:divBdr>
        <w:top w:val="none" w:sz="0" w:space="0" w:color="auto"/>
        <w:left w:val="none" w:sz="0" w:space="0" w:color="auto"/>
        <w:bottom w:val="none" w:sz="0" w:space="0" w:color="auto"/>
        <w:right w:val="none" w:sz="0" w:space="0" w:color="auto"/>
      </w:divBdr>
    </w:div>
    <w:div w:id="2049911087">
      <w:bodyDiv w:val="1"/>
      <w:marLeft w:val="0"/>
      <w:marRight w:val="0"/>
      <w:marTop w:val="0"/>
      <w:marBottom w:val="0"/>
      <w:divBdr>
        <w:top w:val="none" w:sz="0" w:space="0" w:color="auto"/>
        <w:left w:val="none" w:sz="0" w:space="0" w:color="auto"/>
        <w:bottom w:val="none" w:sz="0" w:space="0" w:color="auto"/>
        <w:right w:val="none" w:sz="0" w:space="0" w:color="auto"/>
      </w:divBdr>
    </w:div>
    <w:div w:id="2053192884">
      <w:bodyDiv w:val="1"/>
      <w:marLeft w:val="0"/>
      <w:marRight w:val="0"/>
      <w:marTop w:val="0"/>
      <w:marBottom w:val="0"/>
      <w:divBdr>
        <w:top w:val="none" w:sz="0" w:space="0" w:color="auto"/>
        <w:left w:val="none" w:sz="0" w:space="0" w:color="auto"/>
        <w:bottom w:val="none" w:sz="0" w:space="0" w:color="auto"/>
        <w:right w:val="none" w:sz="0" w:space="0" w:color="auto"/>
      </w:divBdr>
    </w:div>
    <w:div w:id="2056079512">
      <w:bodyDiv w:val="1"/>
      <w:marLeft w:val="0"/>
      <w:marRight w:val="0"/>
      <w:marTop w:val="0"/>
      <w:marBottom w:val="0"/>
      <w:divBdr>
        <w:top w:val="none" w:sz="0" w:space="0" w:color="auto"/>
        <w:left w:val="none" w:sz="0" w:space="0" w:color="auto"/>
        <w:bottom w:val="none" w:sz="0" w:space="0" w:color="auto"/>
        <w:right w:val="none" w:sz="0" w:space="0" w:color="auto"/>
      </w:divBdr>
    </w:div>
    <w:div w:id="2057462510">
      <w:bodyDiv w:val="1"/>
      <w:marLeft w:val="0"/>
      <w:marRight w:val="0"/>
      <w:marTop w:val="0"/>
      <w:marBottom w:val="0"/>
      <w:divBdr>
        <w:top w:val="none" w:sz="0" w:space="0" w:color="auto"/>
        <w:left w:val="none" w:sz="0" w:space="0" w:color="auto"/>
        <w:bottom w:val="none" w:sz="0" w:space="0" w:color="auto"/>
        <w:right w:val="none" w:sz="0" w:space="0" w:color="auto"/>
      </w:divBdr>
    </w:div>
    <w:div w:id="2060858750">
      <w:bodyDiv w:val="1"/>
      <w:marLeft w:val="0"/>
      <w:marRight w:val="0"/>
      <w:marTop w:val="0"/>
      <w:marBottom w:val="0"/>
      <w:divBdr>
        <w:top w:val="none" w:sz="0" w:space="0" w:color="auto"/>
        <w:left w:val="none" w:sz="0" w:space="0" w:color="auto"/>
        <w:bottom w:val="none" w:sz="0" w:space="0" w:color="auto"/>
        <w:right w:val="none" w:sz="0" w:space="0" w:color="auto"/>
      </w:divBdr>
    </w:div>
    <w:div w:id="2062051825">
      <w:bodyDiv w:val="1"/>
      <w:marLeft w:val="0"/>
      <w:marRight w:val="0"/>
      <w:marTop w:val="0"/>
      <w:marBottom w:val="0"/>
      <w:divBdr>
        <w:top w:val="none" w:sz="0" w:space="0" w:color="auto"/>
        <w:left w:val="none" w:sz="0" w:space="0" w:color="auto"/>
        <w:bottom w:val="none" w:sz="0" w:space="0" w:color="auto"/>
        <w:right w:val="none" w:sz="0" w:space="0" w:color="auto"/>
      </w:divBdr>
    </w:div>
    <w:div w:id="2066484696">
      <w:bodyDiv w:val="1"/>
      <w:marLeft w:val="0"/>
      <w:marRight w:val="0"/>
      <w:marTop w:val="0"/>
      <w:marBottom w:val="0"/>
      <w:divBdr>
        <w:top w:val="none" w:sz="0" w:space="0" w:color="auto"/>
        <w:left w:val="none" w:sz="0" w:space="0" w:color="auto"/>
        <w:bottom w:val="none" w:sz="0" w:space="0" w:color="auto"/>
        <w:right w:val="none" w:sz="0" w:space="0" w:color="auto"/>
      </w:divBdr>
    </w:div>
    <w:div w:id="2076581669">
      <w:bodyDiv w:val="1"/>
      <w:marLeft w:val="0"/>
      <w:marRight w:val="0"/>
      <w:marTop w:val="0"/>
      <w:marBottom w:val="0"/>
      <w:divBdr>
        <w:top w:val="none" w:sz="0" w:space="0" w:color="auto"/>
        <w:left w:val="none" w:sz="0" w:space="0" w:color="auto"/>
        <w:bottom w:val="none" w:sz="0" w:space="0" w:color="auto"/>
        <w:right w:val="none" w:sz="0" w:space="0" w:color="auto"/>
      </w:divBdr>
    </w:div>
    <w:div w:id="2079552454">
      <w:bodyDiv w:val="1"/>
      <w:marLeft w:val="0"/>
      <w:marRight w:val="0"/>
      <w:marTop w:val="0"/>
      <w:marBottom w:val="0"/>
      <w:divBdr>
        <w:top w:val="none" w:sz="0" w:space="0" w:color="auto"/>
        <w:left w:val="none" w:sz="0" w:space="0" w:color="auto"/>
        <w:bottom w:val="none" w:sz="0" w:space="0" w:color="auto"/>
        <w:right w:val="none" w:sz="0" w:space="0" w:color="auto"/>
      </w:divBdr>
    </w:div>
    <w:div w:id="2080975313">
      <w:bodyDiv w:val="1"/>
      <w:marLeft w:val="0"/>
      <w:marRight w:val="0"/>
      <w:marTop w:val="0"/>
      <w:marBottom w:val="0"/>
      <w:divBdr>
        <w:top w:val="none" w:sz="0" w:space="0" w:color="auto"/>
        <w:left w:val="none" w:sz="0" w:space="0" w:color="auto"/>
        <w:bottom w:val="none" w:sz="0" w:space="0" w:color="auto"/>
        <w:right w:val="none" w:sz="0" w:space="0" w:color="auto"/>
      </w:divBdr>
    </w:div>
    <w:div w:id="2081828350">
      <w:bodyDiv w:val="1"/>
      <w:marLeft w:val="0"/>
      <w:marRight w:val="0"/>
      <w:marTop w:val="0"/>
      <w:marBottom w:val="0"/>
      <w:divBdr>
        <w:top w:val="none" w:sz="0" w:space="0" w:color="auto"/>
        <w:left w:val="none" w:sz="0" w:space="0" w:color="auto"/>
        <w:bottom w:val="none" w:sz="0" w:space="0" w:color="auto"/>
        <w:right w:val="none" w:sz="0" w:space="0" w:color="auto"/>
      </w:divBdr>
    </w:div>
    <w:div w:id="2084329700">
      <w:bodyDiv w:val="1"/>
      <w:marLeft w:val="0"/>
      <w:marRight w:val="0"/>
      <w:marTop w:val="0"/>
      <w:marBottom w:val="0"/>
      <w:divBdr>
        <w:top w:val="none" w:sz="0" w:space="0" w:color="auto"/>
        <w:left w:val="none" w:sz="0" w:space="0" w:color="auto"/>
        <w:bottom w:val="none" w:sz="0" w:space="0" w:color="auto"/>
        <w:right w:val="none" w:sz="0" w:space="0" w:color="auto"/>
      </w:divBdr>
    </w:div>
    <w:div w:id="2084642886">
      <w:bodyDiv w:val="1"/>
      <w:marLeft w:val="0"/>
      <w:marRight w:val="0"/>
      <w:marTop w:val="0"/>
      <w:marBottom w:val="0"/>
      <w:divBdr>
        <w:top w:val="none" w:sz="0" w:space="0" w:color="auto"/>
        <w:left w:val="none" w:sz="0" w:space="0" w:color="auto"/>
        <w:bottom w:val="none" w:sz="0" w:space="0" w:color="auto"/>
        <w:right w:val="none" w:sz="0" w:space="0" w:color="auto"/>
      </w:divBdr>
    </w:div>
    <w:div w:id="2093428714">
      <w:bodyDiv w:val="1"/>
      <w:marLeft w:val="0"/>
      <w:marRight w:val="0"/>
      <w:marTop w:val="0"/>
      <w:marBottom w:val="0"/>
      <w:divBdr>
        <w:top w:val="none" w:sz="0" w:space="0" w:color="auto"/>
        <w:left w:val="none" w:sz="0" w:space="0" w:color="auto"/>
        <w:bottom w:val="none" w:sz="0" w:space="0" w:color="auto"/>
        <w:right w:val="none" w:sz="0" w:space="0" w:color="auto"/>
      </w:divBdr>
    </w:div>
    <w:div w:id="2099595447">
      <w:bodyDiv w:val="1"/>
      <w:marLeft w:val="0"/>
      <w:marRight w:val="0"/>
      <w:marTop w:val="0"/>
      <w:marBottom w:val="0"/>
      <w:divBdr>
        <w:top w:val="none" w:sz="0" w:space="0" w:color="auto"/>
        <w:left w:val="none" w:sz="0" w:space="0" w:color="auto"/>
        <w:bottom w:val="none" w:sz="0" w:space="0" w:color="auto"/>
        <w:right w:val="none" w:sz="0" w:space="0" w:color="auto"/>
      </w:divBdr>
    </w:div>
    <w:div w:id="2114857800">
      <w:bodyDiv w:val="1"/>
      <w:marLeft w:val="0"/>
      <w:marRight w:val="0"/>
      <w:marTop w:val="0"/>
      <w:marBottom w:val="0"/>
      <w:divBdr>
        <w:top w:val="none" w:sz="0" w:space="0" w:color="auto"/>
        <w:left w:val="none" w:sz="0" w:space="0" w:color="auto"/>
        <w:bottom w:val="none" w:sz="0" w:space="0" w:color="auto"/>
        <w:right w:val="none" w:sz="0" w:space="0" w:color="auto"/>
      </w:divBdr>
    </w:div>
    <w:div w:id="2125684772">
      <w:bodyDiv w:val="1"/>
      <w:marLeft w:val="0"/>
      <w:marRight w:val="0"/>
      <w:marTop w:val="0"/>
      <w:marBottom w:val="0"/>
      <w:divBdr>
        <w:top w:val="none" w:sz="0" w:space="0" w:color="auto"/>
        <w:left w:val="none" w:sz="0" w:space="0" w:color="auto"/>
        <w:bottom w:val="none" w:sz="0" w:space="0" w:color="auto"/>
        <w:right w:val="none" w:sz="0" w:space="0" w:color="auto"/>
      </w:divBdr>
    </w:div>
    <w:div w:id="2135519413">
      <w:bodyDiv w:val="1"/>
      <w:marLeft w:val="0"/>
      <w:marRight w:val="0"/>
      <w:marTop w:val="0"/>
      <w:marBottom w:val="0"/>
      <w:divBdr>
        <w:top w:val="none" w:sz="0" w:space="0" w:color="auto"/>
        <w:left w:val="none" w:sz="0" w:space="0" w:color="auto"/>
        <w:bottom w:val="none" w:sz="0" w:space="0" w:color="auto"/>
        <w:right w:val="none" w:sz="0" w:space="0" w:color="auto"/>
      </w:divBdr>
    </w:div>
    <w:div w:id="2142114547">
      <w:bodyDiv w:val="1"/>
      <w:marLeft w:val="0"/>
      <w:marRight w:val="0"/>
      <w:marTop w:val="0"/>
      <w:marBottom w:val="0"/>
      <w:divBdr>
        <w:top w:val="none" w:sz="0" w:space="0" w:color="auto"/>
        <w:left w:val="none" w:sz="0" w:space="0" w:color="auto"/>
        <w:bottom w:val="none" w:sz="0" w:space="0" w:color="auto"/>
        <w:right w:val="none" w:sz="0" w:space="0" w:color="auto"/>
      </w:divBdr>
    </w:div>
    <w:div w:id="21447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4E49-0B5E-4FFE-B6E1-D402B0BA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3863</Words>
  <Characters>21248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maria.sandoval</dc:creator>
  <cp:lastModifiedBy>LANDY.CASTRO</cp:lastModifiedBy>
  <cp:revision>4</cp:revision>
  <cp:lastPrinted>2019-05-10T20:35:00Z</cp:lastPrinted>
  <dcterms:created xsi:type="dcterms:W3CDTF">2019-07-08T16:44:00Z</dcterms:created>
  <dcterms:modified xsi:type="dcterms:W3CDTF">2019-07-08T16:46:00Z</dcterms:modified>
</cp:coreProperties>
</file>